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C43A69" w14:textId="77777777" w:rsidR="00CF5581" w:rsidRDefault="00CF5581" w:rsidP="00CF5581">
      <w:pPr>
        <w:jc w:val="center"/>
        <w:rPr>
          <w:rFonts w:ascii="Times New Roman" w:hAnsi="Times New Roman" w:cs="Times New Roman"/>
          <w:sz w:val="24"/>
          <w:szCs w:val="24"/>
        </w:rPr>
      </w:pPr>
      <w:r w:rsidRPr="007F6FD8">
        <w:rPr>
          <w:rFonts w:ascii="Times New Roman" w:hAnsi="Times New Roman" w:cs="Times New Roman"/>
          <w:sz w:val="24"/>
          <w:szCs w:val="24"/>
        </w:rPr>
        <w:t xml:space="preserve">Instituto Mato-grossense do Feijão, Pulses, Colheitas Especiais e Irrigação </w:t>
      </w:r>
      <w:r>
        <w:rPr>
          <w:rFonts w:ascii="Times New Roman" w:hAnsi="Times New Roman" w:cs="Times New Roman"/>
          <w:sz w:val="24"/>
          <w:szCs w:val="24"/>
        </w:rPr>
        <w:t>(</w:t>
      </w:r>
      <w:r w:rsidRPr="007F6FD8">
        <w:rPr>
          <w:rFonts w:ascii="Times New Roman" w:hAnsi="Times New Roman" w:cs="Times New Roman"/>
          <w:sz w:val="24"/>
          <w:szCs w:val="24"/>
        </w:rPr>
        <w:t>IMAFIR-MT</w:t>
      </w:r>
      <w:r>
        <w:rPr>
          <w:rFonts w:ascii="Times New Roman" w:hAnsi="Times New Roman" w:cs="Times New Roman"/>
          <w:sz w:val="24"/>
          <w:szCs w:val="24"/>
        </w:rPr>
        <w:t>)</w:t>
      </w:r>
    </w:p>
    <w:p w14:paraId="2701C415" w14:textId="77777777" w:rsidR="00CF5581" w:rsidRPr="00872D7D" w:rsidRDefault="00CF5581" w:rsidP="00CF5581">
      <w:pPr>
        <w:jc w:val="center"/>
        <w:rPr>
          <w:rFonts w:ascii="Times New Roman" w:hAnsi="Times New Roman" w:cs="Times New Roman"/>
          <w:sz w:val="24"/>
          <w:szCs w:val="24"/>
        </w:rPr>
      </w:pPr>
      <w:r w:rsidRPr="00872D7D">
        <w:rPr>
          <w:rFonts w:ascii="Times New Roman" w:hAnsi="Times New Roman" w:cs="Times New Roman"/>
          <w:sz w:val="24"/>
          <w:szCs w:val="24"/>
        </w:rPr>
        <w:t>Universidade Federal de Viçosa (UFV)</w:t>
      </w:r>
    </w:p>
    <w:p w14:paraId="09CC2FE0" w14:textId="77777777" w:rsidR="00CF5581" w:rsidRPr="00872D7D" w:rsidRDefault="00CF5581" w:rsidP="00CF5581">
      <w:pPr>
        <w:jc w:val="center"/>
        <w:rPr>
          <w:rFonts w:ascii="Times New Roman" w:hAnsi="Times New Roman" w:cs="Times New Roman"/>
          <w:sz w:val="24"/>
          <w:szCs w:val="24"/>
        </w:rPr>
      </w:pPr>
      <w:r w:rsidRPr="00872D7D">
        <w:rPr>
          <w:rFonts w:ascii="Times New Roman" w:hAnsi="Times New Roman" w:cs="Times New Roman"/>
          <w:sz w:val="24"/>
          <w:szCs w:val="24"/>
        </w:rPr>
        <w:t>Universidade Federal do Rio de Janeiro (UFRJ)</w:t>
      </w:r>
    </w:p>
    <w:p w14:paraId="79555A78" w14:textId="77777777" w:rsidR="00CF5581" w:rsidRDefault="00CF5581" w:rsidP="00CF5581">
      <w:pPr>
        <w:jc w:val="center"/>
        <w:rPr>
          <w:rFonts w:ascii="Times New Roman" w:hAnsi="Times New Roman" w:cs="Times New Roman"/>
        </w:rPr>
      </w:pPr>
    </w:p>
    <w:p w14:paraId="5A7CB357" w14:textId="77777777" w:rsidR="00CF5581" w:rsidRDefault="00CF5581" w:rsidP="00CF5581">
      <w:pPr>
        <w:jc w:val="center"/>
        <w:rPr>
          <w:rFonts w:ascii="Times New Roman" w:hAnsi="Times New Roman" w:cs="Times New Roman"/>
        </w:rPr>
      </w:pPr>
    </w:p>
    <w:p w14:paraId="7CF8F348" w14:textId="77777777" w:rsidR="00CF5581" w:rsidRDefault="00CF5581" w:rsidP="00CF5581">
      <w:pPr>
        <w:jc w:val="center"/>
        <w:rPr>
          <w:rFonts w:ascii="Times New Roman" w:hAnsi="Times New Roman" w:cs="Times New Roman"/>
        </w:rPr>
      </w:pPr>
    </w:p>
    <w:p w14:paraId="759A19D3" w14:textId="77777777" w:rsidR="00CF5581" w:rsidRPr="00564EAB" w:rsidRDefault="00CF5581" w:rsidP="00CF5581">
      <w:pPr>
        <w:jc w:val="center"/>
        <w:rPr>
          <w:rFonts w:ascii="Times New Roman" w:hAnsi="Times New Roman" w:cs="Times New Roman"/>
        </w:rPr>
      </w:pPr>
    </w:p>
    <w:p w14:paraId="33DD997B" w14:textId="77777777" w:rsidR="00CF5581" w:rsidRPr="00D23B55" w:rsidRDefault="00CF5581" w:rsidP="00CF5581">
      <w:pPr>
        <w:jc w:val="center"/>
        <w:rPr>
          <w:rFonts w:ascii="Times New Roman" w:hAnsi="Times New Roman" w:cs="Times New Roman"/>
          <w:b/>
          <w:bCs/>
          <w:sz w:val="24"/>
          <w:szCs w:val="24"/>
        </w:rPr>
      </w:pPr>
      <w:r w:rsidRPr="00D23B55">
        <w:rPr>
          <w:rFonts w:ascii="Times New Roman" w:hAnsi="Times New Roman" w:cs="Times New Roman"/>
          <w:b/>
          <w:bCs/>
          <w:sz w:val="24"/>
          <w:szCs w:val="24"/>
        </w:rPr>
        <w:t>Estudo Envolvendo Levantamento Integrado de Informações dos Recursos Hídricos Superficiais e Subterrâneos para os Polos de Agricultura Irrigada do Centro Sul e do Alto Teles Pires no Estado de Mato Grosso</w:t>
      </w:r>
    </w:p>
    <w:p w14:paraId="5755D7D4" w14:textId="77777777" w:rsidR="00CF5581" w:rsidRDefault="00CF5581" w:rsidP="00CF5581">
      <w:pPr>
        <w:rPr>
          <w:rFonts w:ascii="Times New Roman" w:hAnsi="Times New Roman" w:cs="Times New Roman"/>
        </w:rPr>
      </w:pPr>
    </w:p>
    <w:p w14:paraId="1345B92F" w14:textId="77777777" w:rsidR="00CF5581" w:rsidRDefault="00CF5581" w:rsidP="00CF5581">
      <w:pPr>
        <w:rPr>
          <w:rFonts w:ascii="Times New Roman" w:hAnsi="Times New Roman" w:cs="Times New Roman"/>
        </w:rPr>
      </w:pPr>
    </w:p>
    <w:p w14:paraId="74DDF964" w14:textId="77777777" w:rsidR="00CF5581" w:rsidRPr="000E3ABD" w:rsidRDefault="00CF5581" w:rsidP="00CF5581">
      <w:pPr>
        <w:rPr>
          <w:rFonts w:ascii="Times New Roman" w:hAnsi="Times New Roman" w:cs="Times New Roman"/>
          <w:sz w:val="24"/>
          <w:szCs w:val="24"/>
        </w:rPr>
      </w:pPr>
    </w:p>
    <w:p w14:paraId="14FE6CA9" w14:textId="7A98F85B" w:rsidR="006F50B3" w:rsidRDefault="006F50B3" w:rsidP="00B77116">
      <w:pPr>
        <w:spacing w:after="0"/>
        <w:jc w:val="center"/>
        <w:rPr>
          <w:rFonts w:ascii="Times New Roman" w:hAnsi="Times New Roman" w:cs="Times New Roman"/>
          <w:i/>
          <w:iCs/>
          <w:sz w:val="24"/>
          <w:szCs w:val="24"/>
        </w:rPr>
      </w:pPr>
      <w:r>
        <w:rPr>
          <w:rFonts w:ascii="Times New Roman" w:hAnsi="Times New Roman" w:cs="Times New Roman"/>
          <w:i/>
          <w:iCs/>
          <w:sz w:val="24"/>
          <w:szCs w:val="24"/>
        </w:rPr>
        <w:t>RELATÓRIO</w:t>
      </w:r>
      <w:r w:rsidR="00284D2C">
        <w:rPr>
          <w:rFonts w:ascii="Times New Roman" w:hAnsi="Times New Roman" w:cs="Times New Roman"/>
          <w:i/>
          <w:iCs/>
          <w:sz w:val="24"/>
          <w:szCs w:val="24"/>
        </w:rPr>
        <w:t xml:space="preserve"> FINAL</w:t>
      </w:r>
    </w:p>
    <w:p w14:paraId="02B56FD0" w14:textId="4B97A8CC" w:rsidR="00CF5581" w:rsidRDefault="00FF2724" w:rsidP="00B77116">
      <w:pPr>
        <w:spacing w:after="0"/>
        <w:jc w:val="center"/>
        <w:rPr>
          <w:rFonts w:ascii="Times New Roman" w:hAnsi="Times New Roman" w:cs="Times New Roman"/>
          <w:i/>
          <w:iCs/>
          <w:sz w:val="24"/>
          <w:szCs w:val="24"/>
        </w:rPr>
      </w:pPr>
      <w:r>
        <w:rPr>
          <w:rFonts w:ascii="Times New Roman" w:hAnsi="Times New Roman" w:cs="Times New Roman"/>
          <w:i/>
          <w:iCs/>
          <w:sz w:val="24"/>
          <w:szCs w:val="24"/>
        </w:rPr>
        <w:t xml:space="preserve">Meta </w:t>
      </w:r>
      <w:r w:rsidR="0054351E">
        <w:rPr>
          <w:rFonts w:ascii="Times New Roman" w:hAnsi="Times New Roman" w:cs="Times New Roman"/>
          <w:i/>
          <w:iCs/>
          <w:sz w:val="24"/>
          <w:szCs w:val="24"/>
        </w:rPr>
        <w:t>9</w:t>
      </w:r>
      <w:r w:rsidR="006F50B3">
        <w:rPr>
          <w:rFonts w:ascii="Times New Roman" w:hAnsi="Times New Roman" w:cs="Times New Roman"/>
          <w:i/>
          <w:iCs/>
          <w:sz w:val="24"/>
          <w:szCs w:val="24"/>
        </w:rPr>
        <w:t xml:space="preserve"> – </w:t>
      </w:r>
      <w:r w:rsidR="0054351E">
        <w:rPr>
          <w:rFonts w:ascii="Times New Roman" w:hAnsi="Times New Roman" w:cs="Times New Roman"/>
          <w:i/>
          <w:iCs/>
          <w:sz w:val="24"/>
          <w:szCs w:val="24"/>
        </w:rPr>
        <w:t>Irrigação e Agricultura Irrigada</w:t>
      </w:r>
    </w:p>
    <w:p w14:paraId="65BA7060" w14:textId="12DE64DC" w:rsidR="006F50B3" w:rsidRPr="000E3ABD" w:rsidRDefault="006F50B3" w:rsidP="00B77116">
      <w:pPr>
        <w:spacing w:after="0"/>
        <w:jc w:val="center"/>
        <w:rPr>
          <w:rFonts w:ascii="Times New Roman" w:hAnsi="Times New Roman" w:cs="Times New Roman"/>
          <w:i/>
          <w:iCs/>
          <w:sz w:val="24"/>
          <w:szCs w:val="24"/>
        </w:rPr>
      </w:pPr>
      <w:r>
        <w:rPr>
          <w:rFonts w:ascii="Times New Roman" w:hAnsi="Times New Roman" w:cs="Times New Roman"/>
          <w:i/>
          <w:iCs/>
          <w:sz w:val="24"/>
          <w:szCs w:val="24"/>
        </w:rPr>
        <w:t xml:space="preserve">Atividade </w:t>
      </w:r>
      <w:r w:rsidR="0054351E">
        <w:rPr>
          <w:rFonts w:ascii="Times New Roman" w:hAnsi="Times New Roman" w:cs="Times New Roman"/>
          <w:i/>
          <w:iCs/>
          <w:sz w:val="24"/>
          <w:szCs w:val="24"/>
        </w:rPr>
        <w:t>9</w:t>
      </w:r>
      <w:r>
        <w:rPr>
          <w:rFonts w:ascii="Times New Roman" w:hAnsi="Times New Roman" w:cs="Times New Roman"/>
          <w:i/>
          <w:iCs/>
          <w:sz w:val="24"/>
          <w:szCs w:val="24"/>
        </w:rPr>
        <w:t>.</w:t>
      </w:r>
      <w:r w:rsidR="0054351E">
        <w:rPr>
          <w:rFonts w:ascii="Times New Roman" w:hAnsi="Times New Roman" w:cs="Times New Roman"/>
          <w:i/>
          <w:iCs/>
          <w:sz w:val="24"/>
          <w:szCs w:val="24"/>
        </w:rPr>
        <w:t>2</w:t>
      </w:r>
      <w:r>
        <w:rPr>
          <w:rFonts w:ascii="Times New Roman" w:hAnsi="Times New Roman" w:cs="Times New Roman"/>
          <w:i/>
          <w:iCs/>
          <w:sz w:val="24"/>
          <w:szCs w:val="24"/>
        </w:rPr>
        <w:t xml:space="preserve"> – </w:t>
      </w:r>
      <w:r w:rsidR="0054351E">
        <w:rPr>
          <w:rFonts w:ascii="Times New Roman" w:hAnsi="Times New Roman" w:cs="Times New Roman"/>
          <w:i/>
          <w:iCs/>
          <w:sz w:val="24"/>
          <w:szCs w:val="24"/>
        </w:rPr>
        <w:t xml:space="preserve">Avaliar a </w:t>
      </w:r>
      <w:r w:rsidR="00C5299C">
        <w:rPr>
          <w:rFonts w:ascii="Times New Roman" w:hAnsi="Times New Roman" w:cs="Times New Roman"/>
          <w:i/>
          <w:iCs/>
          <w:sz w:val="24"/>
          <w:szCs w:val="24"/>
        </w:rPr>
        <w:t>Q</w:t>
      </w:r>
      <w:r w:rsidR="0054351E">
        <w:rPr>
          <w:rFonts w:ascii="Times New Roman" w:hAnsi="Times New Roman" w:cs="Times New Roman"/>
          <w:i/>
          <w:iCs/>
          <w:sz w:val="24"/>
          <w:szCs w:val="24"/>
        </w:rPr>
        <w:t>ualidade</w:t>
      </w:r>
      <w:r w:rsidR="00C5299C">
        <w:rPr>
          <w:rFonts w:ascii="Times New Roman" w:hAnsi="Times New Roman" w:cs="Times New Roman"/>
          <w:i/>
          <w:iCs/>
          <w:sz w:val="24"/>
          <w:szCs w:val="24"/>
        </w:rPr>
        <w:t>, Manutenção e Operação dos Sistemas de Irrigação</w:t>
      </w:r>
    </w:p>
    <w:p w14:paraId="058F230E" w14:textId="012E8E14" w:rsidR="00CF5581" w:rsidRDefault="00CF5581" w:rsidP="00B77116">
      <w:pPr>
        <w:spacing w:after="0"/>
        <w:jc w:val="center"/>
        <w:rPr>
          <w:rFonts w:ascii="Times New Roman" w:hAnsi="Times New Roman" w:cs="Times New Roman"/>
          <w:i/>
          <w:iCs/>
          <w:sz w:val="24"/>
          <w:szCs w:val="24"/>
        </w:rPr>
      </w:pPr>
      <w:r>
        <w:rPr>
          <w:rFonts w:ascii="Times New Roman" w:hAnsi="Times New Roman" w:cs="Times New Roman"/>
          <w:i/>
          <w:iCs/>
          <w:sz w:val="24"/>
          <w:szCs w:val="24"/>
        </w:rPr>
        <w:t xml:space="preserve">Período de </w:t>
      </w:r>
      <w:r w:rsidR="00284D2C">
        <w:rPr>
          <w:rFonts w:ascii="Times New Roman" w:hAnsi="Times New Roman" w:cs="Times New Roman"/>
          <w:i/>
          <w:iCs/>
          <w:sz w:val="24"/>
          <w:szCs w:val="24"/>
        </w:rPr>
        <w:t>30</w:t>
      </w:r>
      <w:r w:rsidRPr="000E3ABD">
        <w:rPr>
          <w:rFonts w:ascii="Times New Roman" w:hAnsi="Times New Roman" w:cs="Times New Roman"/>
          <w:i/>
          <w:iCs/>
          <w:sz w:val="24"/>
          <w:szCs w:val="24"/>
        </w:rPr>
        <w:t xml:space="preserve"> de </w:t>
      </w:r>
      <w:r w:rsidR="00C5299C">
        <w:rPr>
          <w:rFonts w:ascii="Times New Roman" w:hAnsi="Times New Roman" w:cs="Times New Roman"/>
          <w:i/>
          <w:iCs/>
          <w:sz w:val="24"/>
          <w:szCs w:val="24"/>
        </w:rPr>
        <w:t>novembro</w:t>
      </w:r>
      <w:r w:rsidRPr="000E3ABD">
        <w:rPr>
          <w:rFonts w:ascii="Times New Roman" w:hAnsi="Times New Roman" w:cs="Times New Roman"/>
          <w:i/>
          <w:iCs/>
          <w:sz w:val="24"/>
          <w:szCs w:val="24"/>
        </w:rPr>
        <w:t xml:space="preserve"> de 2023 a </w:t>
      </w:r>
      <w:r w:rsidR="00C5299C">
        <w:rPr>
          <w:rFonts w:ascii="Times New Roman" w:hAnsi="Times New Roman" w:cs="Times New Roman"/>
          <w:i/>
          <w:iCs/>
          <w:sz w:val="24"/>
          <w:szCs w:val="24"/>
        </w:rPr>
        <w:t>30</w:t>
      </w:r>
      <w:r w:rsidRPr="000E3ABD">
        <w:rPr>
          <w:rFonts w:ascii="Times New Roman" w:hAnsi="Times New Roman" w:cs="Times New Roman"/>
          <w:i/>
          <w:iCs/>
          <w:sz w:val="24"/>
          <w:szCs w:val="24"/>
        </w:rPr>
        <w:t xml:space="preserve"> de </w:t>
      </w:r>
      <w:r w:rsidR="00204242">
        <w:rPr>
          <w:rFonts w:ascii="Times New Roman" w:hAnsi="Times New Roman" w:cs="Times New Roman"/>
          <w:i/>
          <w:iCs/>
          <w:sz w:val="24"/>
          <w:szCs w:val="24"/>
        </w:rPr>
        <w:t>maio</w:t>
      </w:r>
      <w:r w:rsidRPr="000E3ABD">
        <w:rPr>
          <w:rFonts w:ascii="Times New Roman" w:hAnsi="Times New Roman" w:cs="Times New Roman"/>
          <w:i/>
          <w:iCs/>
          <w:sz w:val="24"/>
          <w:szCs w:val="24"/>
        </w:rPr>
        <w:t xml:space="preserve"> de 202</w:t>
      </w:r>
      <w:r w:rsidR="00284D2C">
        <w:rPr>
          <w:rFonts w:ascii="Times New Roman" w:hAnsi="Times New Roman" w:cs="Times New Roman"/>
          <w:i/>
          <w:iCs/>
          <w:sz w:val="24"/>
          <w:szCs w:val="24"/>
        </w:rPr>
        <w:t>4</w:t>
      </w:r>
    </w:p>
    <w:p w14:paraId="2E3BBB39" w14:textId="77777777" w:rsidR="00284D2C" w:rsidRDefault="00284D2C" w:rsidP="00CF5581">
      <w:pPr>
        <w:jc w:val="center"/>
        <w:rPr>
          <w:rFonts w:ascii="Times New Roman" w:hAnsi="Times New Roman" w:cs="Times New Roman"/>
          <w:i/>
          <w:iCs/>
          <w:sz w:val="24"/>
          <w:szCs w:val="24"/>
        </w:rPr>
      </w:pPr>
    </w:p>
    <w:p w14:paraId="06BA35CE" w14:textId="77777777" w:rsidR="00284D2C" w:rsidRDefault="00284D2C" w:rsidP="00CF5581">
      <w:pPr>
        <w:jc w:val="center"/>
        <w:rPr>
          <w:rFonts w:ascii="Times New Roman" w:hAnsi="Times New Roman" w:cs="Times New Roman"/>
          <w:i/>
          <w:iCs/>
          <w:sz w:val="24"/>
          <w:szCs w:val="24"/>
        </w:rPr>
      </w:pPr>
    </w:p>
    <w:p w14:paraId="408B379A" w14:textId="77777777" w:rsidR="00284D2C" w:rsidRDefault="00284D2C" w:rsidP="00CF5581">
      <w:pPr>
        <w:jc w:val="center"/>
        <w:rPr>
          <w:rFonts w:ascii="Times New Roman" w:hAnsi="Times New Roman" w:cs="Times New Roman"/>
          <w:i/>
          <w:iCs/>
          <w:sz w:val="24"/>
          <w:szCs w:val="24"/>
        </w:rPr>
      </w:pPr>
    </w:p>
    <w:p w14:paraId="4A12DB68" w14:textId="77777777" w:rsidR="00284D2C" w:rsidRDefault="00284D2C" w:rsidP="00CF5581">
      <w:pPr>
        <w:jc w:val="center"/>
        <w:rPr>
          <w:rFonts w:ascii="Times New Roman" w:hAnsi="Times New Roman" w:cs="Times New Roman"/>
          <w:i/>
          <w:iCs/>
          <w:sz w:val="24"/>
          <w:szCs w:val="24"/>
        </w:rPr>
      </w:pPr>
    </w:p>
    <w:p w14:paraId="27D73B45" w14:textId="77777777" w:rsidR="00284D2C" w:rsidRDefault="00284D2C" w:rsidP="00CF5581">
      <w:pPr>
        <w:jc w:val="center"/>
        <w:rPr>
          <w:rFonts w:ascii="Times New Roman" w:hAnsi="Times New Roman" w:cs="Times New Roman"/>
          <w:i/>
          <w:iCs/>
          <w:sz w:val="24"/>
          <w:szCs w:val="24"/>
        </w:rPr>
      </w:pPr>
    </w:p>
    <w:p w14:paraId="14C1960E" w14:textId="77777777" w:rsidR="00284D2C" w:rsidRDefault="00284D2C" w:rsidP="00CF5581">
      <w:pPr>
        <w:jc w:val="center"/>
        <w:rPr>
          <w:rFonts w:ascii="Times New Roman" w:hAnsi="Times New Roman" w:cs="Times New Roman"/>
          <w:i/>
          <w:iCs/>
          <w:sz w:val="24"/>
          <w:szCs w:val="24"/>
        </w:rPr>
      </w:pPr>
    </w:p>
    <w:p w14:paraId="44701D82" w14:textId="77777777" w:rsidR="00284D2C" w:rsidRDefault="00284D2C" w:rsidP="00CF5581">
      <w:pPr>
        <w:jc w:val="center"/>
        <w:rPr>
          <w:rFonts w:ascii="Times New Roman" w:hAnsi="Times New Roman" w:cs="Times New Roman"/>
          <w:i/>
          <w:iCs/>
          <w:sz w:val="24"/>
          <w:szCs w:val="24"/>
        </w:rPr>
      </w:pPr>
    </w:p>
    <w:p w14:paraId="688290D6" w14:textId="2810EE0B" w:rsidR="00284D2C" w:rsidRPr="00284D2C" w:rsidRDefault="00284D2C" w:rsidP="00CF5581">
      <w:pPr>
        <w:jc w:val="center"/>
        <w:rPr>
          <w:rFonts w:ascii="Times New Roman" w:hAnsi="Times New Roman" w:cs="Times New Roman"/>
          <w:sz w:val="24"/>
          <w:szCs w:val="24"/>
        </w:rPr>
      </w:pPr>
      <w:r w:rsidRPr="00284D2C">
        <w:rPr>
          <w:rFonts w:ascii="Times New Roman" w:hAnsi="Times New Roman" w:cs="Times New Roman"/>
          <w:sz w:val="24"/>
          <w:szCs w:val="24"/>
        </w:rPr>
        <w:t>Agosto de 2024</w:t>
      </w:r>
    </w:p>
    <w:p w14:paraId="5F40952C" w14:textId="77777777" w:rsidR="00CF5581" w:rsidRDefault="00CF5581" w:rsidP="00CF5581">
      <w:pPr>
        <w:rPr>
          <w:rFonts w:ascii="Times New Roman" w:hAnsi="Times New Roman" w:cs="Times New Roman"/>
        </w:rPr>
      </w:pPr>
    </w:p>
    <w:p w14:paraId="4BA79596" w14:textId="77777777" w:rsidR="00CF5581" w:rsidRDefault="00CF5581" w:rsidP="00CF5581">
      <w:pPr>
        <w:rPr>
          <w:rFonts w:ascii="Times New Roman" w:hAnsi="Times New Roman" w:cs="Times New Roman"/>
        </w:rPr>
      </w:pPr>
    </w:p>
    <w:p w14:paraId="7B1B87F3" w14:textId="77777777" w:rsidR="00CF5581" w:rsidRDefault="00CF5581" w:rsidP="00C4654D">
      <w:pPr>
        <w:pStyle w:val="PargrafodaLista"/>
        <w:spacing w:line="360" w:lineRule="auto"/>
        <w:ind w:left="142"/>
        <w:jc w:val="both"/>
        <w:rPr>
          <w:rFonts w:ascii="Times New Roman" w:hAnsi="Times New Roman" w:cs="Times New Roman"/>
          <w:b/>
          <w:bCs/>
          <w:sz w:val="24"/>
          <w:szCs w:val="24"/>
        </w:rPr>
      </w:pPr>
    </w:p>
    <w:p w14:paraId="06D478E6" w14:textId="77777777" w:rsidR="00CF5581" w:rsidRDefault="00CF5581" w:rsidP="00C4654D">
      <w:pPr>
        <w:pStyle w:val="PargrafodaLista"/>
        <w:spacing w:line="360" w:lineRule="auto"/>
        <w:ind w:left="142"/>
        <w:jc w:val="both"/>
        <w:rPr>
          <w:rFonts w:ascii="Times New Roman" w:hAnsi="Times New Roman" w:cs="Times New Roman"/>
          <w:b/>
          <w:bCs/>
          <w:sz w:val="24"/>
          <w:szCs w:val="24"/>
        </w:rPr>
      </w:pPr>
    </w:p>
    <w:p w14:paraId="3D72B647" w14:textId="77777777" w:rsidR="00CF5581" w:rsidRDefault="00CF5581" w:rsidP="00C4654D">
      <w:pPr>
        <w:pStyle w:val="PargrafodaLista"/>
        <w:spacing w:line="360" w:lineRule="auto"/>
        <w:ind w:left="142"/>
        <w:jc w:val="both"/>
        <w:rPr>
          <w:rFonts w:ascii="Times New Roman" w:hAnsi="Times New Roman" w:cs="Times New Roman"/>
          <w:b/>
          <w:bCs/>
          <w:sz w:val="24"/>
          <w:szCs w:val="24"/>
        </w:rPr>
      </w:pPr>
    </w:p>
    <w:p w14:paraId="39EFD6F0" w14:textId="77777777" w:rsidR="00D8197C" w:rsidRDefault="00D8197C" w:rsidP="00C4654D">
      <w:pPr>
        <w:pStyle w:val="PargrafodaLista"/>
        <w:spacing w:line="360" w:lineRule="auto"/>
        <w:ind w:left="142"/>
        <w:jc w:val="both"/>
        <w:rPr>
          <w:rFonts w:ascii="Times New Roman" w:hAnsi="Times New Roman" w:cs="Times New Roman"/>
          <w:b/>
          <w:bCs/>
          <w:sz w:val="24"/>
          <w:szCs w:val="24"/>
        </w:rPr>
      </w:pPr>
    </w:p>
    <w:p w14:paraId="26462312" w14:textId="77777777" w:rsidR="00CF5581" w:rsidRDefault="00CF5581" w:rsidP="00C4654D">
      <w:pPr>
        <w:pStyle w:val="PargrafodaLista"/>
        <w:spacing w:line="360" w:lineRule="auto"/>
        <w:ind w:left="142"/>
        <w:jc w:val="both"/>
        <w:rPr>
          <w:rFonts w:ascii="Times New Roman" w:hAnsi="Times New Roman" w:cs="Times New Roman"/>
          <w:b/>
          <w:bCs/>
          <w:sz w:val="24"/>
          <w:szCs w:val="24"/>
        </w:rPr>
      </w:pPr>
    </w:p>
    <w:p w14:paraId="2D7C23A5" w14:textId="77777777" w:rsidR="00C4654D" w:rsidRDefault="00C4654D" w:rsidP="00C4654D">
      <w:pPr>
        <w:pStyle w:val="PargrafodaLista"/>
        <w:spacing w:line="360" w:lineRule="auto"/>
        <w:ind w:left="142"/>
        <w:jc w:val="both"/>
        <w:rPr>
          <w:rFonts w:ascii="Times New Roman" w:hAnsi="Times New Roman" w:cs="Times New Roman"/>
          <w:b/>
          <w:bCs/>
          <w:sz w:val="24"/>
          <w:szCs w:val="24"/>
        </w:rPr>
      </w:pPr>
    </w:p>
    <w:p w14:paraId="019BF2BE" w14:textId="415AC9F8" w:rsidR="00C4654D" w:rsidRDefault="00C4654D" w:rsidP="00C4654D">
      <w:pPr>
        <w:pStyle w:val="PargrafodaLista"/>
        <w:numPr>
          <w:ilvl w:val="0"/>
          <w:numId w:val="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Introdução</w:t>
      </w:r>
    </w:p>
    <w:p w14:paraId="5CB60A02" w14:textId="77777777" w:rsidR="00204242" w:rsidRPr="00204242" w:rsidRDefault="00204242" w:rsidP="00204242">
      <w:pPr>
        <w:spacing w:line="360" w:lineRule="auto"/>
        <w:ind w:firstLine="502"/>
        <w:jc w:val="both"/>
        <w:rPr>
          <w:rFonts w:ascii="Times New Roman" w:hAnsi="Times New Roman" w:cs="Times New Roman"/>
          <w:sz w:val="24"/>
          <w:szCs w:val="24"/>
        </w:rPr>
      </w:pPr>
      <w:r w:rsidRPr="00204242">
        <w:rPr>
          <w:rFonts w:ascii="Times New Roman" w:hAnsi="Times New Roman" w:cs="Times New Roman"/>
          <w:sz w:val="24"/>
          <w:szCs w:val="24"/>
        </w:rPr>
        <w:t xml:space="preserve">A demanda crescente por eficiência nos sistemas agrícolas é impulsionada por desafios globais significativos. Estima-se que, até 2050, o aumento populacional elevará a necessidade de produção alimentar em 50% </w:t>
      </w:r>
      <w:sdt>
        <w:sdtPr>
          <w:rPr>
            <w:rFonts w:ascii="Times New Roman" w:hAnsi="Times New Roman" w:cs="Times New Roman"/>
            <w:sz w:val="24"/>
            <w:szCs w:val="24"/>
          </w:rPr>
          <w:tag w:val="MENDELEY_CITATION_v3_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"/>
          <w:id w:val="-2092851328"/>
          <w:placeholder>
            <w:docPart w:val="65DABB59FF8C44E1BF6DC0D65DE7DC83"/>
          </w:placeholder>
        </w:sdtPr>
        <w:sdtEndPr/>
        <w:sdtContent>
          <w:r w:rsidRPr="00204242">
            <w:rPr>
              <w:rFonts w:ascii="Times New Roman" w:hAnsi="Times New Roman" w:cs="Times New Roman"/>
              <w:sz w:val="24"/>
              <w:szCs w:val="24"/>
            </w:rPr>
            <w:t>(FAO et al., 2022)</w:t>
          </w:r>
        </w:sdtContent>
      </w:sdt>
      <w:r w:rsidRPr="00204242">
        <w:rPr>
          <w:rFonts w:ascii="Times New Roman" w:hAnsi="Times New Roman" w:cs="Times New Roman"/>
          <w:sz w:val="24"/>
          <w:szCs w:val="24"/>
        </w:rPr>
        <w:t xml:space="preserve">. Essa exigência deve ser atendida em um cenário de mudanças climáticas que predizem condições extremas e incertas, aumentando os riscos de insegurança alimentar </w:t>
      </w:r>
      <w:sdt>
        <w:sdtPr>
          <w:rPr>
            <w:rFonts w:ascii="Times New Roman" w:hAnsi="Times New Roman" w:cs="Times New Roman"/>
            <w:sz w:val="24"/>
            <w:szCs w:val="24"/>
          </w:rPr>
          <w:tag w:val="MENDELEY_CITATION_v3_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"/>
          <w:id w:val="1125202544"/>
          <w:placeholder>
            <w:docPart w:val="65DABB59FF8C44E1BF6DC0D65DE7DC83"/>
          </w:placeholder>
        </w:sdtPr>
        <w:sdtEndPr/>
        <w:sdtContent>
          <w:r w:rsidRPr="00204242">
            <w:rPr>
              <w:rFonts w:ascii="Times New Roman" w:hAnsi="Times New Roman" w:cs="Times New Roman"/>
              <w:sz w:val="24"/>
              <w:szCs w:val="24"/>
            </w:rPr>
            <w:t>(ABRAHÃO; COSTA, 2018; IPCC, 2022)</w:t>
          </w:r>
        </w:sdtContent>
      </w:sdt>
      <w:r w:rsidRPr="00204242">
        <w:rPr>
          <w:rFonts w:ascii="Times New Roman" w:hAnsi="Times New Roman" w:cs="Times New Roman"/>
          <w:sz w:val="24"/>
          <w:szCs w:val="24"/>
        </w:rPr>
        <w:t xml:space="preserve">. Adicionalmente, espera-se que a maior parte do aumento da produção agrícola ocorra em áreas já cultivadas, destacando a necessidade de maximizar a eficiência no uso dos recursos disponíveis </w:t>
      </w:r>
      <w:sdt>
        <w:sdtPr>
          <w:rPr>
            <w:rFonts w:ascii="Times New Roman" w:hAnsi="Times New Roman" w:cs="Times New Roman"/>
            <w:sz w:val="24"/>
            <w:szCs w:val="24"/>
          </w:rPr>
          <w:tag w:val="MENDELEY_CITATION_v3_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"/>
          <w:id w:val="1977493585"/>
          <w:placeholder>
            <w:docPart w:val="65DABB59FF8C44E1BF6DC0D65DE7DC83"/>
          </w:placeholder>
        </w:sdtPr>
        <w:sdtEndPr/>
        <w:sdtContent>
          <w:r w:rsidRPr="00204242">
            <w:rPr>
              <w:rFonts w:ascii="Times New Roman" w:hAnsi="Times New Roman" w:cs="Times New Roman"/>
              <w:sz w:val="24"/>
              <w:szCs w:val="24"/>
            </w:rPr>
            <w:t>(FAO, 2020)</w:t>
          </w:r>
        </w:sdtContent>
      </w:sdt>
      <w:r w:rsidRPr="00204242">
        <w:rPr>
          <w:rFonts w:ascii="Times New Roman" w:hAnsi="Times New Roman" w:cs="Times New Roman"/>
          <w:sz w:val="24"/>
          <w:szCs w:val="24"/>
        </w:rPr>
        <w:t>.</w:t>
      </w:r>
    </w:p>
    <w:p w14:paraId="4EAAC5F1" w14:textId="77777777" w:rsidR="00204242" w:rsidRPr="00204242" w:rsidRDefault="00204242" w:rsidP="00204242">
      <w:pPr>
        <w:spacing w:line="360" w:lineRule="auto"/>
        <w:ind w:firstLine="502"/>
        <w:jc w:val="both"/>
        <w:rPr>
          <w:rFonts w:ascii="Times New Roman" w:hAnsi="Times New Roman" w:cs="Times New Roman"/>
          <w:sz w:val="24"/>
          <w:szCs w:val="24"/>
        </w:rPr>
      </w:pPr>
      <w:r w:rsidRPr="00204242">
        <w:rPr>
          <w:rFonts w:ascii="Times New Roman" w:hAnsi="Times New Roman" w:cs="Times New Roman"/>
          <w:sz w:val="24"/>
          <w:szCs w:val="24"/>
        </w:rPr>
        <w:t xml:space="preserve">A agricultura irrigada emerge como uma estratégia crucial para enfrentar essas incertezas, proporcionando não apenas a redução do impacto da sazonalidade climática, mas também aumentando a produtividade das culturas e melhorando a qualidade dos produtos agrícolas </w:t>
      </w:r>
      <w:sdt>
        <w:sdtPr>
          <w:rPr>
            <w:rFonts w:ascii="Times New Roman" w:hAnsi="Times New Roman" w:cs="Times New Roman"/>
            <w:sz w:val="24"/>
            <w:szCs w:val="24"/>
          </w:rPr>
          <w:tag w:val="MENDELEY_CITATION_v3_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"/>
          <w:id w:val="1144011727"/>
          <w:placeholder>
            <w:docPart w:val="65DABB59FF8C44E1BF6DC0D65DE7DC83"/>
          </w:placeholder>
        </w:sdtPr>
        <w:sdtEndPr/>
        <w:sdtContent>
          <w:r w:rsidRPr="00204242">
            <w:rPr>
              <w:rFonts w:ascii="Times New Roman" w:hAnsi="Times New Roman" w:cs="Times New Roman"/>
              <w:sz w:val="24"/>
              <w:szCs w:val="24"/>
            </w:rPr>
            <w:t>(BERNARDO et al., 2019; HAMIDOV; HELMING, 2020)</w:t>
          </w:r>
        </w:sdtContent>
      </w:sdt>
      <w:r w:rsidRPr="00204242">
        <w:rPr>
          <w:rFonts w:ascii="Times New Roman" w:hAnsi="Times New Roman" w:cs="Times New Roman"/>
          <w:sz w:val="24"/>
          <w:szCs w:val="24"/>
        </w:rPr>
        <w:t xml:space="preserve">. No Brasil, a irrigação é praticada em cerca de 8 milhões de hectares, um número pequeno se comparado ao potencial estimado de 63 milhões de hectares </w:t>
      </w:r>
      <w:sdt>
        <w:sdtPr>
          <w:rPr>
            <w:rFonts w:ascii="Times New Roman" w:hAnsi="Times New Roman" w:cs="Times New Roman"/>
            <w:sz w:val="24"/>
            <w:szCs w:val="24"/>
          </w:rPr>
          <w:tag w:val="MENDELEY_CITATION_v3_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"/>
          <w:id w:val="-1897117770"/>
          <w:placeholder>
            <w:docPart w:val="65DABB59FF8C44E1BF6DC0D65DE7DC83"/>
          </w:placeholder>
        </w:sdtPr>
        <w:sdtEndPr/>
        <w:sdtContent>
          <w:r w:rsidRPr="00204242">
            <w:rPr>
              <w:rFonts w:ascii="Times New Roman" w:hAnsi="Times New Roman" w:cs="Times New Roman"/>
              <w:sz w:val="24"/>
              <w:szCs w:val="24"/>
            </w:rPr>
            <w:t>(ANA, 2021; EMBRAPA, 2017)</w:t>
          </w:r>
        </w:sdtContent>
      </w:sdt>
      <w:r w:rsidRPr="00204242">
        <w:rPr>
          <w:rFonts w:ascii="Times New Roman" w:hAnsi="Times New Roman" w:cs="Times New Roman"/>
          <w:sz w:val="24"/>
          <w:szCs w:val="24"/>
        </w:rPr>
        <w:t>.</w:t>
      </w:r>
    </w:p>
    <w:p w14:paraId="087898E1" w14:textId="77777777" w:rsidR="00204242" w:rsidRPr="00204242" w:rsidRDefault="00204242" w:rsidP="00204242">
      <w:pPr>
        <w:spacing w:line="360" w:lineRule="auto"/>
        <w:ind w:firstLine="502"/>
        <w:jc w:val="both"/>
        <w:rPr>
          <w:rFonts w:ascii="Times New Roman" w:hAnsi="Times New Roman" w:cs="Times New Roman"/>
          <w:sz w:val="24"/>
          <w:szCs w:val="24"/>
        </w:rPr>
      </w:pPr>
      <w:r w:rsidRPr="00204242">
        <w:rPr>
          <w:rFonts w:ascii="Times New Roman" w:hAnsi="Times New Roman" w:cs="Times New Roman"/>
          <w:sz w:val="24"/>
          <w:szCs w:val="24"/>
        </w:rPr>
        <w:t xml:space="preserve">Este trabalho foca nos Polos de Irrigação do Alto Rio das Mortes e do Alto Teles Pires, que se destacam como os principais polos de irrigação do Mato Grosso, abrangendo uma área significativa com sistemas predominantemente de pivô central </w:t>
      </w:r>
      <w:sdt>
        <w:sdtPr>
          <w:rPr>
            <w:rFonts w:ascii="Times New Roman" w:hAnsi="Times New Roman" w:cs="Times New Roman"/>
            <w:sz w:val="24"/>
            <w:szCs w:val="24"/>
          </w:rPr>
          <w:tag w:val="MENDELEY_CITATION_v3_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"/>
          <w:id w:val="1986190502"/>
          <w:placeholder>
            <w:docPart w:val="65DABB59FF8C44E1BF6DC0D65DE7DC83"/>
          </w:placeholder>
        </w:sdtPr>
        <w:sdtEndPr/>
        <w:sdtContent>
          <w:r w:rsidRPr="00204242">
            <w:rPr>
              <w:rFonts w:ascii="Times New Roman" w:hAnsi="Times New Roman" w:cs="Times New Roman"/>
              <w:sz w:val="24"/>
              <w:szCs w:val="24"/>
            </w:rPr>
            <w:t>(ANA, 2021)</w:t>
          </w:r>
        </w:sdtContent>
      </w:sdt>
      <w:r w:rsidRPr="00204242">
        <w:rPr>
          <w:rFonts w:ascii="Times New Roman" w:hAnsi="Times New Roman" w:cs="Times New Roman"/>
          <w:sz w:val="24"/>
          <w:szCs w:val="24"/>
        </w:rPr>
        <w:t xml:space="preserve">. As regiões, caracterizadas por sua diversidade de cultivos e intensa atividade agrícola </w:t>
      </w:r>
      <w:sdt>
        <w:sdtPr>
          <w:rPr>
            <w:rFonts w:ascii="Times New Roman" w:hAnsi="Times New Roman" w:cs="Times New Roman"/>
            <w:sz w:val="24"/>
            <w:szCs w:val="24"/>
          </w:rPr>
          <w:tag w:val="MENDELEY_CITATION_v3_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"/>
          <w:id w:val="-1568184719"/>
          <w:placeholder>
            <w:docPart w:val="65DABB59FF8C44E1BF6DC0D65DE7DC83"/>
          </w:placeholder>
        </w:sdtPr>
        <w:sdtEndPr/>
        <w:sdtContent>
          <w:r w:rsidRPr="00204242">
            <w:rPr>
              <w:rFonts w:ascii="Times New Roman" w:hAnsi="Times New Roman" w:cs="Times New Roman"/>
              <w:sz w:val="24"/>
              <w:szCs w:val="24"/>
            </w:rPr>
            <w:t>(IBGE, 2023)</w:t>
          </w:r>
        </w:sdtContent>
      </w:sdt>
      <w:r w:rsidRPr="00204242">
        <w:rPr>
          <w:rFonts w:ascii="Times New Roman" w:hAnsi="Times New Roman" w:cs="Times New Roman"/>
          <w:sz w:val="24"/>
          <w:szCs w:val="24"/>
        </w:rPr>
        <w:t>, enfrentam desafios complexos relacionados ao manejo da água e da energia necessários para a irrigação.</w:t>
      </w:r>
    </w:p>
    <w:p w14:paraId="158D998D" w14:textId="6C14DC72" w:rsidR="009214DF" w:rsidRDefault="00204242" w:rsidP="00204242">
      <w:pPr>
        <w:spacing w:line="360" w:lineRule="auto"/>
        <w:ind w:firstLine="502"/>
        <w:jc w:val="both"/>
        <w:rPr>
          <w:rFonts w:ascii="Times New Roman" w:hAnsi="Times New Roman" w:cs="Times New Roman"/>
          <w:sz w:val="24"/>
          <w:szCs w:val="24"/>
        </w:rPr>
      </w:pPr>
      <w:r w:rsidRPr="00204242">
        <w:rPr>
          <w:rFonts w:ascii="Times New Roman" w:hAnsi="Times New Roman" w:cs="Times New Roman"/>
          <w:sz w:val="24"/>
          <w:szCs w:val="24"/>
        </w:rPr>
        <w:t>O objetivo deste estudo é avaliar a qualidade, manutenção e operação dos sistemas de irrigação nos Polos de Irrigação do Mato Grosso, com foco na uniformidade de distribuição de água, nas condições de pressurização dos equipamentos e na qualidade do sistema de movimentação. Esta avaliação é essencial para direcionar a implementação de práticas de manejo mais sustentáveis e eficientes, que possam contribuir significativamente para a segurança alimentar e a sustentabilidade ambiental das regiões.</w:t>
      </w:r>
    </w:p>
    <w:p w14:paraId="775A0163" w14:textId="77777777" w:rsidR="009214DF" w:rsidRDefault="009214DF">
      <w:pPr>
        <w:rPr>
          <w:rFonts w:ascii="Times New Roman" w:hAnsi="Times New Roman" w:cs="Times New Roman"/>
          <w:sz w:val="24"/>
          <w:szCs w:val="24"/>
        </w:rPr>
      </w:pPr>
      <w:r>
        <w:rPr>
          <w:rFonts w:ascii="Times New Roman" w:hAnsi="Times New Roman" w:cs="Times New Roman"/>
          <w:sz w:val="24"/>
          <w:szCs w:val="24"/>
        </w:rPr>
        <w:br w:type="page"/>
      </w:r>
    </w:p>
    <w:p w14:paraId="298D49C1" w14:textId="47A366B1" w:rsidR="00F30275" w:rsidRDefault="00204242" w:rsidP="00A17CA0">
      <w:pPr>
        <w:pStyle w:val="PargrafodaLista"/>
        <w:numPr>
          <w:ilvl w:val="0"/>
          <w:numId w:val="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Métodos</w:t>
      </w:r>
    </w:p>
    <w:p w14:paraId="78370DA7" w14:textId="2DD20EC0" w:rsidR="009214DF" w:rsidRPr="009214DF" w:rsidRDefault="009214DF" w:rsidP="009214DF">
      <w:pPr>
        <w:pStyle w:val="PargrafodaLista"/>
        <w:numPr>
          <w:ilvl w:val="1"/>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Área de Estudo</w:t>
      </w:r>
    </w:p>
    <w:p w14:paraId="7313BE98" w14:textId="77777777" w:rsidR="009214DF" w:rsidRPr="009214DF" w:rsidRDefault="009214DF" w:rsidP="009214DF">
      <w:pPr>
        <w:spacing w:line="360" w:lineRule="auto"/>
        <w:ind w:firstLine="502"/>
        <w:jc w:val="both"/>
        <w:rPr>
          <w:rFonts w:ascii="Times New Roman" w:hAnsi="Times New Roman" w:cs="Times New Roman"/>
          <w:sz w:val="24"/>
          <w:szCs w:val="24"/>
        </w:rPr>
      </w:pPr>
      <w:r w:rsidRPr="009214DF">
        <w:rPr>
          <w:rFonts w:ascii="Times New Roman" w:hAnsi="Times New Roman" w:cs="Times New Roman"/>
          <w:sz w:val="24"/>
          <w:szCs w:val="24"/>
        </w:rPr>
        <w:t>Este trabalho apresenta os estudos realizados em duas regiões distintas do estado do Mato Grosso, Brasil: o Polo de Irrigação do Alto Rio das Mortes (ARM) e o Polo de Irrigação do Alto Teles Pires (ATP). Ambas as regiões são cruciais para a agricultura irrigada no estado, utilizando sistemas de pivô central para maximizar a eficiência hídrica e a produtividade agrícola.</w:t>
      </w:r>
    </w:p>
    <w:p w14:paraId="5783C208" w14:textId="77777777" w:rsidR="009214DF" w:rsidRPr="009214DF" w:rsidRDefault="009214DF" w:rsidP="009214DF">
      <w:pPr>
        <w:spacing w:line="360" w:lineRule="auto"/>
        <w:ind w:firstLine="502"/>
        <w:jc w:val="both"/>
        <w:rPr>
          <w:rFonts w:ascii="Times New Roman" w:hAnsi="Times New Roman" w:cs="Times New Roman"/>
          <w:sz w:val="24"/>
          <w:szCs w:val="24"/>
        </w:rPr>
      </w:pPr>
      <w:r w:rsidRPr="009214DF">
        <w:rPr>
          <w:rFonts w:ascii="Times New Roman" w:hAnsi="Times New Roman" w:cs="Times New Roman"/>
          <w:sz w:val="24"/>
          <w:szCs w:val="24"/>
        </w:rPr>
        <w:t xml:space="preserve">De acordo com a classificação climática de Köppen definida para o território brasileiro </w:t>
      </w:r>
      <w:sdt>
        <w:sdtPr>
          <w:rPr>
            <w:rFonts w:ascii="Times New Roman" w:hAnsi="Times New Roman" w:cs="Times New Roman"/>
            <w:sz w:val="24"/>
            <w:szCs w:val="24"/>
          </w:rPr>
          <w:tag w:val="MENDELEY_CITATION_v3_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"/>
          <w:id w:val="-660772826"/>
          <w:placeholder>
            <w:docPart w:val="F3C03730EB2045C98AA612E8250D4C3F"/>
          </w:placeholder>
        </w:sdtPr>
        <w:sdtEndPr/>
        <w:sdtContent>
          <w:r w:rsidRPr="009214DF">
            <w:rPr>
              <w:rFonts w:ascii="Times New Roman" w:hAnsi="Times New Roman" w:cs="Times New Roman"/>
              <w:sz w:val="24"/>
              <w:szCs w:val="24"/>
            </w:rPr>
            <w:t>(ALVARES et al., 2013)</w:t>
          </w:r>
        </w:sdtContent>
      </w:sdt>
      <w:r w:rsidRPr="009214DF">
        <w:rPr>
          <w:rFonts w:ascii="Times New Roman" w:hAnsi="Times New Roman" w:cs="Times New Roman"/>
          <w:sz w:val="24"/>
          <w:szCs w:val="24"/>
        </w:rPr>
        <w:t>, o ARM possui a classificação de Aw – tropical com inverno seco, enquanto o ATP possui classificações Aw e Am – tropical de monções. Essas condições climáticas são cruciais para compreender as práticas agrícolas locais.</w:t>
      </w:r>
    </w:p>
    <w:p w14:paraId="74B78DA3" w14:textId="77777777" w:rsidR="009214DF" w:rsidRPr="009214DF" w:rsidRDefault="009214DF" w:rsidP="009214DF">
      <w:pPr>
        <w:spacing w:line="360" w:lineRule="auto"/>
        <w:ind w:firstLine="502"/>
        <w:jc w:val="both"/>
        <w:rPr>
          <w:rFonts w:ascii="Times New Roman" w:hAnsi="Times New Roman" w:cs="Times New Roman"/>
          <w:sz w:val="24"/>
          <w:szCs w:val="24"/>
        </w:rPr>
      </w:pPr>
      <w:r w:rsidRPr="009214DF">
        <w:rPr>
          <w:rFonts w:ascii="Times New Roman" w:hAnsi="Times New Roman" w:cs="Times New Roman"/>
          <w:sz w:val="24"/>
          <w:szCs w:val="24"/>
        </w:rPr>
        <w:t xml:space="preserve">Nas duas regiões, o solo dominante é o Latossolo Vermelho-Amarelo Distrófico de textura média </w:t>
      </w:r>
      <w:sdt>
        <w:sdtPr>
          <w:rPr>
            <w:rFonts w:ascii="Times New Roman" w:hAnsi="Times New Roman" w:cs="Times New Roman"/>
            <w:sz w:val="24"/>
            <w:szCs w:val="24"/>
          </w:rPr>
          <w:tag w:val="MENDELEY_CITATION_v3_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"/>
          <w:id w:val="-1214654516"/>
          <w:placeholder>
            <w:docPart w:val="F3C03730EB2045C98AA612E8250D4C3F"/>
          </w:placeholder>
        </w:sdtPr>
        <w:sdtEndPr/>
        <w:sdtContent>
          <w:r w:rsidRPr="009214DF">
            <w:rPr>
              <w:rFonts w:ascii="Times New Roman" w:hAnsi="Times New Roman" w:cs="Times New Roman"/>
              <w:sz w:val="24"/>
              <w:szCs w:val="24"/>
            </w:rPr>
            <w:t>(IBGE, 2001)</w:t>
          </w:r>
        </w:sdtContent>
      </w:sdt>
      <w:r w:rsidRPr="009214DF">
        <w:rPr>
          <w:rFonts w:ascii="Times New Roman" w:hAnsi="Times New Roman" w:cs="Times New Roman"/>
          <w:sz w:val="24"/>
          <w:szCs w:val="24"/>
        </w:rPr>
        <w:t>, que é altamente propício para a agricultura irrigada, favorecendo o cultivo intensivo.</w:t>
      </w:r>
    </w:p>
    <w:p w14:paraId="40C19329" w14:textId="77777777" w:rsidR="009214DF" w:rsidRPr="009214DF" w:rsidRDefault="009214DF" w:rsidP="009214DF">
      <w:pPr>
        <w:spacing w:line="360" w:lineRule="auto"/>
        <w:ind w:firstLine="502"/>
        <w:jc w:val="both"/>
        <w:rPr>
          <w:rFonts w:ascii="Times New Roman" w:hAnsi="Times New Roman" w:cs="Times New Roman"/>
          <w:sz w:val="24"/>
          <w:szCs w:val="24"/>
        </w:rPr>
      </w:pPr>
      <w:r w:rsidRPr="009214DF">
        <w:rPr>
          <w:rFonts w:ascii="Times New Roman" w:hAnsi="Times New Roman" w:cs="Times New Roman"/>
          <w:sz w:val="24"/>
          <w:szCs w:val="24"/>
        </w:rPr>
        <w:t xml:space="preserve">Atualmente, ARM e ATP possuem cerca de 72.292 e 63.573 hectares irrigados, respectivamente, com um potencial de expansão efetivo para até 384.642 e 703.497 hectares </w:t>
      </w:r>
      <w:sdt>
        <w:sdtPr>
          <w:rPr>
            <w:rFonts w:ascii="Times New Roman" w:hAnsi="Times New Roman" w:cs="Times New Roman"/>
            <w:sz w:val="24"/>
            <w:szCs w:val="24"/>
          </w:rPr>
          <w:tag w:val="MENDELEY_CITATION_v3_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"/>
          <w:id w:val="-1432346139"/>
          <w:placeholder>
            <w:docPart w:val="F3C03730EB2045C98AA612E8250D4C3F"/>
          </w:placeholder>
        </w:sdtPr>
        <w:sdtEndPr/>
        <w:sdtContent>
          <w:r w:rsidRPr="009214DF">
            <w:rPr>
              <w:rFonts w:ascii="Times New Roman" w:hAnsi="Times New Roman" w:cs="Times New Roman"/>
              <w:sz w:val="24"/>
              <w:szCs w:val="24"/>
            </w:rPr>
            <w:t>(ANA, 2021)</w:t>
          </w:r>
        </w:sdtContent>
      </w:sdt>
      <w:r w:rsidRPr="009214DF">
        <w:rPr>
          <w:rFonts w:ascii="Times New Roman" w:hAnsi="Times New Roman" w:cs="Times New Roman"/>
          <w:sz w:val="24"/>
          <w:szCs w:val="24"/>
        </w:rPr>
        <w:t xml:space="preserve">. Em ambas as regiões, a prática de múltiplas safras anuais nas áreas irrigadas é predominante em mais de 90% dos pivôs centrais, permitindo uma produção contínua ao longo do ano, o que destaca a eficiência e a importância da irrigação nessas regiões </w:t>
      </w:r>
      <w:sdt>
        <w:sdtPr>
          <w:rPr>
            <w:rFonts w:ascii="Times New Roman" w:hAnsi="Times New Roman" w:cs="Times New Roman"/>
            <w:sz w:val="24"/>
            <w:szCs w:val="24"/>
          </w:rPr>
          <w:tag w:val="MENDELEY_CITATION_v3_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"/>
          <w:id w:val="266284636"/>
          <w:placeholder>
            <w:docPart w:val="F3C03730EB2045C98AA612E8250D4C3F"/>
          </w:placeholder>
        </w:sdtPr>
        <w:sdtEndPr/>
        <w:sdtContent>
          <w:r w:rsidRPr="009214DF">
            <w:rPr>
              <w:rFonts w:ascii="Times New Roman" w:hAnsi="Times New Roman" w:cs="Times New Roman"/>
              <w:sz w:val="24"/>
              <w:szCs w:val="24"/>
            </w:rPr>
            <w:t>(ANA, 2023)</w:t>
          </w:r>
        </w:sdtContent>
      </w:sdt>
      <w:r w:rsidRPr="009214DF">
        <w:rPr>
          <w:rFonts w:ascii="Times New Roman" w:hAnsi="Times New Roman" w:cs="Times New Roman"/>
          <w:sz w:val="24"/>
          <w:szCs w:val="24"/>
        </w:rPr>
        <w:t>.</w:t>
      </w:r>
    </w:p>
    <w:p w14:paraId="5D3769EE" w14:textId="77777777" w:rsidR="009214DF" w:rsidRPr="009214DF" w:rsidRDefault="009214DF" w:rsidP="009214DF">
      <w:pPr>
        <w:spacing w:line="360" w:lineRule="auto"/>
        <w:ind w:firstLine="502"/>
        <w:jc w:val="both"/>
        <w:rPr>
          <w:rFonts w:ascii="Times New Roman" w:hAnsi="Times New Roman" w:cs="Times New Roman"/>
          <w:sz w:val="24"/>
          <w:szCs w:val="24"/>
        </w:rPr>
      </w:pPr>
      <w:r w:rsidRPr="009214DF">
        <w:rPr>
          <w:rFonts w:ascii="Times New Roman" w:hAnsi="Times New Roman" w:cs="Times New Roman"/>
          <w:sz w:val="24"/>
          <w:szCs w:val="24"/>
        </w:rPr>
        <w:t>A Figura 1 ilustra a geolocalização das regiões estudadas e a disposição dos equipamentos de irrigação por pivô central, incluindo os pivôs que foram objeto de avaliações em testes de campo. As partes (a) e (b) destacam uma visão geral dos polos de irrigação ATP e ARM, bem como a localização dos pivôs centrais das regiões e os avaliados neste estudo. A parte (c) detalha a área do estado do Mato Grosso, bem como as delimitações de regiões e fases do projeto.</w:t>
      </w:r>
    </w:p>
    <w:p w14:paraId="31E7A7BA" w14:textId="77777777" w:rsidR="009214DF" w:rsidRPr="00AF48F6" w:rsidRDefault="009214DF" w:rsidP="009214DF">
      <w:r w:rsidRPr="00AF48F6">
        <w:br w:type="page"/>
      </w:r>
    </w:p>
    <w:p w14:paraId="1F1A635D" w14:textId="77777777" w:rsidR="009214DF" w:rsidRPr="00AF48F6" w:rsidRDefault="009214DF" w:rsidP="009214DF">
      <w:pPr>
        <w:pStyle w:val="FIGURASTABELAS"/>
        <w:rPr>
          <w:b/>
          <w:bCs/>
        </w:rPr>
      </w:pPr>
      <w:r w:rsidRPr="00AF48F6">
        <w:rPr>
          <w:b/>
          <w:bCs/>
        </w:rPr>
        <w:lastRenderedPageBreak/>
        <w:drawing>
          <wp:inline distT="0" distB="0" distL="0" distR="0" wp14:anchorId="4FD2F3B0" wp14:editId="6ADB75C3">
            <wp:extent cx="5760720" cy="5760720"/>
            <wp:effectExtent l="0" t="0" r="0" b="0"/>
            <wp:docPr id="127620667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06672" name="Imagem 127620667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5262A3A0" w14:textId="62BACE85" w:rsidR="009214DF" w:rsidRPr="00622114" w:rsidRDefault="009214DF" w:rsidP="009214DF">
      <w:pPr>
        <w:spacing w:line="360" w:lineRule="auto"/>
        <w:ind w:firstLine="502"/>
        <w:jc w:val="both"/>
        <w:rPr>
          <w:rFonts w:ascii="Times New Roman" w:hAnsi="Times New Roman" w:cs="Times New Roman"/>
          <w:sz w:val="24"/>
          <w:szCs w:val="24"/>
        </w:rPr>
      </w:pPr>
      <w:r w:rsidRPr="00622114">
        <w:rPr>
          <w:rFonts w:ascii="Times New Roman" w:hAnsi="Times New Roman" w:cs="Times New Roman"/>
          <w:b/>
          <w:bCs/>
          <w:sz w:val="24"/>
          <w:szCs w:val="24"/>
        </w:rPr>
        <w:t xml:space="preserve">Figura </w:t>
      </w:r>
      <w:r w:rsidRPr="00622114">
        <w:rPr>
          <w:rFonts w:ascii="Times New Roman" w:hAnsi="Times New Roman" w:cs="Times New Roman"/>
          <w:b/>
          <w:bCs/>
          <w:sz w:val="24"/>
          <w:szCs w:val="24"/>
        </w:rPr>
        <w:fldChar w:fldCharType="begin"/>
      </w:r>
      <w:r w:rsidRPr="00622114">
        <w:rPr>
          <w:rFonts w:ascii="Times New Roman" w:hAnsi="Times New Roman" w:cs="Times New Roman"/>
          <w:b/>
          <w:bCs/>
          <w:sz w:val="24"/>
          <w:szCs w:val="24"/>
        </w:rPr>
        <w:instrText xml:space="preserve"> SEQ Figure \* ARABIC </w:instrText>
      </w:r>
      <w:r w:rsidRPr="00622114">
        <w:rPr>
          <w:rFonts w:ascii="Times New Roman" w:hAnsi="Times New Roman" w:cs="Times New Roman"/>
          <w:b/>
          <w:bCs/>
          <w:sz w:val="24"/>
          <w:szCs w:val="24"/>
        </w:rPr>
        <w:fldChar w:fldCharType="separate"/>
      </w:r>
      <w:r w:rsidR="009B2B78">
        <w:rPr>
          <w:rFonts w:ascii="Times New Roman" w:hAnsi="Times New Roman" w:cs="Times New Roman"/>
          <w:b/>
          <w:bCs/>
          <w:noProof/>
          <w:sz w:val="24"/>
          <w:szCs w:val="24"/>
        </w:rPr>
        <w:t>1</w:t>
      </w:r>
      <w:r w:rsidRPr="00622114">
        <w:rPr>
          <w:rFonts w:ascii="Times New Roman" w:hAnsi="Times New Roman" w:cs="Times New Roman"/>
          <w:b/>
          <w:bCs/>
          <w:sz w:val="24"/>
          <w:szCs w:val="24"/>
        </w:rPr>
        <w:fldChar w:fldCharType="end"/>
      </w:r>
      <w:r w:rsidRPr="00622114">
        <w:rPr>
          <w:rFonts w:ascii="Times New Roman" w:hAnsi="Times New Roman" w:cs="Times New Roman"/>
          <w:sz w:val="24"/>
          <w:szCs w:val="24"/>
        </w:rPr>
        <w:t xml:space="preserve"> – Distribuição dos pivôs de irrigação no estado do Mato Grosso, Brasil. (a e b) Visão geral dos pivôs de irrigação no Polo de Irrigação do Alto Teles Pires (ATP) e Alto Rio das Mortes (ARM), respectivamente. Cada ponto azul representa a localização de um pivô das regiões e cada ponto verde representa um pivô avaliado. (c) Visão geral do estado do Mato Grosso, destacando as regiões dos polos de irrigação e as fases do projeto.</w:t>
      </w:r>
    </w:p>
    <w:p w14:paraId="2D2C1DD9" w14:textId="77777777" w:rsidR="009214DF" w:rsidRPr="00AF48F6" w:rsidRDefault="009214DF" w:rsidP="009214DF">
      <w:pPr>
        <w:rPr>
          <w:rFonts w:eastAsia="Calibri" w:cs="Lohit Hindi"/>
          <w:iCs/>
          <w:sz w:val="20"/>
        </w:rPr>
      </w:pPr>
      <w:r w:rsidRPr="00AF48F6">
        <w:br w:type="page"/>
      </w:r>
    </w:p>
    <w:p w14:paraId="1081D6D1" w14:textId="1AC620C5" w:rsidR="009214DF" w:rsidRPr="00790498" w:rsidRDefault="00790498" w:rsidP="00790498">
      <w:pPr>
        <w:pStyle w:val="PargrafodaLista"/>
        <w:numPr>
          <w:ilvl w:val="1"/>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Uniformidade de Distribuição de Água</w:t>
      </w:r>
    </w:p>
    <w:p w14:paraId="601AC041" w14:textId="29E0EBF7" w:rsidR="009214DF" w:rsidRPr="00790498" w:rsidRDefault="009214DF" w:rsidP="00790498">
      <w:pPr>
        <w:spacing w:line="360" w:lineRule="auto"/>
        <w:ind w:firstLine="502"/>
        <w:jc w:val="both"/>
        <w:rPr>
          <w:rFonts w:ascii="Times New Roman" w:hAnsi="Times New Roman" w:cs="Times New Roman"/>
          <w:sz w:val="24"/>
          <w:szCs w:val="24"/>
        </w:rPr>
      </w:pPr>
      <w:r w:rsidRPr="00790498">
        <w:rPr>
          <w:rFonts w:ascii="Times New Roman" w:hAnsi="Times New Roman" w:cs="Times New Roman"/>
          <w:sz w:val="24"/>
          <w:szCs w:val="24"/>
        </w:rPr>
        <w:t xml:space="preserve">No ARM e no ATP os testes de campo foram realizados para a avaliação dos equipamentos de irrigação (pivôs centrais) com o objetivo de determinar a uniformidade de distribuição de água. Durante este período, 40 equipamentos que pertencem à delimitação do ARM e outros 3 equipamentos nas proximidades, pertencentes a 16 fazendas, foram avaliados. A performance da uniformidade de distribuição de água foi quantificada pelo coeficiente de uniformidade de Christiansen (CUC) </w:t>
      </w:r>
      <w:sdt>
        <w:sdtPr>
          <w:rPr>
            <w:rFonts w:ascii="Times New Roman" w:hAnsi="Times New Roman" w:cs="Times New Roman"/>
            <w:sz w:val="24"/>
            <w:szCs w:val="24"/>
          </w:rPr>
          <w:tag w:val="MENDELEY_CITATION_v3_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"/>
          <w:id w:val="1475870056"/>
          <w:placeholder>
            <w:docPart w:val="F3C03730EB2045C98AA612E8250D4C3F"/>
          </w:placeholder>
        </w:sdtPr>
        <w:sdtEndPr/>
        <w:sdtContent>
          <w:r w:rsidRPr="00790498">
            <w:rPr>
              <w:rFonts w:ascii="Times New Roman" w:hAnsi="Times New Roman" w:cs="Times New Roman"/>
              <w:sz w:val="24"/>
              <w:szCs w:val="24"/>
            </w:rPr>
            <w:t>(BERNARDO et al., 2019; CHRISTIANSEN, 1942; HEERMANN; HEIN, 1968)</w:t>
          </w:r>
        </w:sdtContent>
      </w:sdt>
      <w:r w:rsidRPr="00790498">
        <w:rPr>
          <w:rFonts w:ascii="Times New Roman" w:hAnsi="Times New Roman" w:cs="Times New Roman"/>
          <w:sz w:val="24"/>
          <w:szCs w:val="24"/>
        </w:rPr>
        <w:t xml:space="preserve"> obtido pela lâmina coletada por coletores durante uma irrigação e lâmina estimada pela carta de aspersão do fabricante de cada equipamento.</w:t>
      </w:r>
    </w:p>
    <w:p w14:paraId="7D4E5D85" w14:textId="77777777" w:rsidR="009214DF" w:rsidRPr="00790498" w:rsidRDefault="009214DF" w:rsidP="00790498">
      <w:pPr>
        <w:spacing w:line="360" w:lineRule="auto"/>
        <w:ind w:firstLine="502"/>
        <w:jc w:val="both"/>
        <w:rPr>
          <w:rFonts w:ascii="Times New Roman" w:hAnsi="Times New Roman" w:cs="Times New Roman"/>
          <w:sz w:val="24"/>
          <w:szCs w:val="24"/>
        </w:rPr>
      </w:pPr>
      <w:r w:rsidRPr="00790498">
        <w:rPr>
          <w:rFonts w:ascii="Times New Roman" w:hAnsi="Times New Roman" w:cs="Times New Roman"/>
          <w:sz w:val="24"/>
          <w:szCs w:val="24"/>
        </w:rPr>
        <w:t>O teste de campo consistiu na disposição de uma fileira de coletores, em linha reta, partindo do centro do equipamento em direção ao ponto mais alto da área para coletar a lâmina de irrigação após a passagem do equipamento. O espaçamento adotado entre os coletores variou entre 10 e 20 metros. O espaçamento do primeiro coletor até o centro do pivô central foi padronizado em 10 metros. A partir dos dados de lâmina coletada e distância do coletor ao centro do pivô central, o CUC foi calculado com base na equação abaixo:</w:t>
      </w:r>
    </w:p>
    <w:p w14:paraId="4266A456" w14:textId="77777777" w:rsidR="009214DF" w:rsidRPr="00790498" w:rsidRDefault="009214DF" w:rsidP="00790498">
      <w:pPr>
        <w:spacing w:line="360" w:lineRule="auto"/>
        <w:ind w:firstLine="502"/>
        <w:jc w:val="both"/>
        <w:rPr>
          <w:rFonts w:ascii="Times New Roman" w:hAnsi="Times New Roman" w:cs="Times New Roman"/>
          <w:sz w:val="24"/>
          <w:szCs w:val="24"/>
        </w:rPr>
      </w:pPr>
      <m:oMathPara>
        <m:oMath>
          <m:r>
            <m:rPr>
              <m:sty m:val="p"/>
            </m:rPr>
            <w:rPr>
              <w:rFonts w:ascii="Cambria Math" w:hAnsi="Cambria Math" w:cs="Times New Roman"/>
              <w:sz w:val="24"/>
              <w:szCs w:val="24"/>
            </w:rPr>
            <m:t>CUC=100</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1-</m:t>
              </m:r>
              <m:f>
                <m:fPr>
                  <m:ctrlPr>
                    <w:rPr>
                      <w:rFonts w:ascii="Cambria Math" w:hAnsi="Cambria Math" w:cs="Times New Roman"/>
                      <w:sz w:val="24"/>
                      <w:szCs w:val="24"/>
                    </w:rPr>
                  </m:ctrlPr>
                </m:fPr>
                <m:num>
                  <m:nary>
                    <m:naryPr>
                      <m:chr m:val="∑"/>
                      <m:limLoc m:val="subSup"/>
                      <m:ctrlPr>
                        <w:rPr>
                          <w:rFonts w:ascii="Cambria Math" w:hAnsi="Cambria Math" w:cs="Times New Roman"/>
                          <w:sz w:val="24"/>
                          <w:szCs w:val="24"/>
                        </w:rPr>
                      </m:ctrlPr>
                    </m:naryPr>
                    <m:sub>
                      <m:r>
                        <m:rPr>
                          <m:sty m:val="p"/>
                        </m:rPr>
                        <w:rPr>
                          <w:rFonts w:ascii="Cambria Math" w:hAnsi="Cambria Math" w:cs="Times New Roman"/>
                          <w:sz w:val="24"/>
                          <w:szCs w:val="24"/>
                        </w:rPr>
                        <m:t>i=1</m:t>
                      </m:r>
                    </m:sub>
                    <m:sup>
                      <m:r>
                        <m:rPr>
                          <m:sty m:val="p"/>
                        </m:rPr>
                        <w:rPr>
                          <w:rFonts w:ascii="Cambria Math" w:hAnsi="Cambria Math" w:cs="Times New Roman"/>
                          <w:sz w:val="24"/>
                          <w:szCs w:val="24"/>
                        </w:rPr>
                        <m:t>n</m:t>
                      </m:r>
                    </m:sup>
                    <m:e>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i</m:t>
                          </m:r>
                        </m:sub>
                      </m:sSub>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nary>
                                <m:naryPr>
                                  <m:chr m:val="∑"/>
                                  <m:limLoc m:val="subSup"/>
                                  <m:ctrlPr>
                                    <w:rPr>
                                      <w:rFonts w:ascii="Cambria Math" w:hAnsi="Cambria Math" w:cs="Times New Roman"/>
                                      <w:sz w:val="24"/>
                                      <w:szCs w:val="24"/>
                                    </w:rPr>
                                  </m:ctrlPr>
                                </m:naryPr>
                                <m:sub>
                                  <m:r>
                                    <m:rPr>
                                      <m:sty m:val="p"/>
                                    </m:rPr>
                                    <w:rPr>
                                      <w:rFonts w:ascii="Cambria Math" w:hAnsi="Cambria Math" w:cs="Times New Roman"/>
                                      <w:sz w:val="24"/>
                                      <w:szCs w:val="24"/>
                                    </w:rPr>
                                    <m:t>i=1</m:t>
                                  </m:r>
                                </m:sub>
                                <m:sup>
                                  <m:r>
                                    <m:rPr>
                                      <m:sty m:val="p"/>
                                    </m:rPr>
                                    <w:rPr>
                                      <w:rFonts w:ascii="Cambria Math" w:hAnsi="Cambria Math" w:cs="Times New Roman"/>
                                      <w:sz w:val="24"/>
                                      <w:szCs w:val="24"/>
                                    </w:rPr>
                                    <m:t>n</m:t>
                                  </m:r>
                                </m:sup>
                                <m:e>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i</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i</m:t>
                                      </m:r>
                                    </m:sub>
                                  </m:sSub>
                                </m:e>
                              </m:nary>
                            </m:num>
                            <m:den>
                              <m:nary>
                                <m:naryPr>
                                  <m:chr m:val="∑"/>
                                  <m:limLoc m:val="subSup"/>
                                  <m:ctrlPr>
                                    <w:rPr>
                                      <w:rFonts w:ascii="Cambria Math" w:hAnsi="Cambria Math" w:cs="Times New Roman"/>
                                      <w:sz w:val="24"/>
                                      <w:szCs w:val="24"/>
                                    </w:rPr>
                                  </m:ctrlPr>
                                </m:naryPr>
                                <m:sub>
                                  <m:r>
                                    <m:rPr>
                                      <m:sty m:val="p"/>
                                    </m:rPr>
                                    <w:rPr>
                                      <w:rFonts w:ascii="Cambria Math" w:hAnsi="Cambria Math" w:cs="Times New Roman"/>
                                      <w:sz w:val="24"/>
                                      <w:szCs w:val="24"/>
                                    </w:rPr>
                                    <m:t>i=1</m:t>
                                  </m:r>
                                </m:sub>
                                <m:sup>
                                  <m:r>
                                    <m:rPr>
                                      <m:sty m:val="p"/>
                                    </m:rPr>
                                    <w:rPr>
                                      <w:rFonts w:ascii="Cambria Math" w:hAnsi="Cambria Math" w:cs="Times New Roman"/>
                                      <w:sz w:val="24"/>
                                      <w:szCs w:val="24"/>
                                    </w:rPr>
                                    <m:t>n</m:t>
                                  </m:r>
                                </m:sup>
                                <m:e>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i</m:t>
                                      </m:r>
                                    </m:sub>
                                  </m:sSub>
                                </m:e>
                              </m:nary>
                            </m:den>
                          </m:f>
                        </m:e>
                      </m:d>
                    </m:e>
                  </m:nary>
                </m:num>
                <m:den>
                  <m:nary>
                    <m:naryPr>
                      <m:chr m:val="∑"/>
                      <m:limLoc m:val="subSup"/>
                      <m:ctrlPr>
                        <w:rPr>
                          <w:rFonts w:ascii="Cambria Math" w:hAnsi="Cambria Math" w:cs="Times New Roman"/>
                          <w:sz w:val="24"/>
                          <w:szCs w:val="24"/>
                        </w:rPr>
                      </m:ctrlPr>
                    </m:naryPr>
                    <m:sub>
                      <m:r>
                        <m:rPr>
                          <m:sty m:val="p"/>
                        </m:rPr>
                        <w:rPr>
                          <w:rFonts w:ascii="Cambria Math" w:hAnsi="Cambria Math" w:cs="Times New Roman"/>
                          <w:sz w:val="24"/>
                          <w:szCs w:val="24"/>
                        </w:rPr>
                        <m:t>i=1</m:t>
                      </m:r>
                    </m:sub>
                    <m:sup>
                      <m:r>
                        <m:rPr>
                          <m:sty m:val="p"/>
                        </m:rPr>
                        <w:rPr>
                          <w:rFonts w:ascii="Cambria Math" w:hAnsi="Cambria Math" w:cs="Times New Roman"/>
                          <w:sz w:val="24"/>
                          <w:szCs w:val="24"/>
                        </w:rPr>
                        <m:t>n</m:t>
                      </m:r>
                    </m:sup>
                    <m:e>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i</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i</m:t>
                          </m:r>
                        </m:sub>
                      </m:sSub>
                    </m:e>
                  </m:nary>
                </m:den>
              </m:f>
            </m:e>
          </m:d>
        </m:oMath>
      </m:oMathPara>
    </w:p>
    <w:p w14:paraId="76BB5C2B" w14:textId="77777777" w:rsidR="009214DF" w:rsidRPr="00790498" w:rsidRDefault="009214DF" w:rsidP="00790498">
      <w:pPr>
        <w:spacing w:line="360" w:lineRule="auto"/>
        <w:ind w:firstLine="502"/>
        <w:jc w:val="both"/>
        <w:rPr>
          <w:rFonts w:ascii="Times New Roman" w:hAnsi="Times New Roman" w:cs="Times New Roman"/>
          <w:sz w:val="24"/>
          <w:szCs w:val="24"/>
        </w:rPr>
      </w:pPr>
      <w:r w:rsidRPr="00790498">
        <w:rPr>
          <w:rFonts w:ascii="Times New Roman" w:hAnsi="Times New Roman" w:cs="Times New Roman"/>
          <w:sz w:val="24"/>
          <w:szCs w:val="24"/>
        </w:rPr>
        <w:t xml:space="preserve">em que, CUC é o coeficiente de uniformidade de Christiansen </w:t>
      </w:r>
      <w:sdt>
        <w:sdtPr>
          <w:rPr>
            <w:rFonts w:ascii="Times New Roman" w:hAnsi="Times New Roman" w:cs="Times New Roman"/>
            <w:sz w:val="24"/>
            <w:szCs w:val="24"/>
          </w:rPr>
          <w:tag w:val="MENDELEY_CITATION_v3_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"/>
          <w:id w:val="-2009200446"/>
          <w:placeholder>
            <w:docPart w:val="8F9223336F7545A3A3B5B8B8DB88377F"/>
          </w:placeholder>
        </w:sdtPr>
        <w:sdtEndPr/>
        <w:sdtContent>
          <w:r w:rsidRPr="00790498">
            <w:rPr>
              <w:rFonts w:ascii="Times New Roman" w:hAnsi="Times New Roman" w:cs="Times New Roman"/>
              <w:sz w:val="24"/>
              <w:szCs w:val="24"/>
            </w:rPr>
            <w:t>(BERNARDO et al., 2019; CHRISTIANSEN, 1942; HEERMANN; HEIN, 1968)</w:t>
          </w:r>
        </w:sdtContent>
      </w:sdt>
      <w:r w:rsidRPr="00790498">
        <w:rPr>
          <w:rFonts w:ascii="Times New Roman" w:hAnsi="Times New Roman" w:cs="Times New Roman"/>
          <w:sz w:val="24"/>
          <w:szCs w:val="24"/>
        </w:rPr>
        <w:t>; Xi é a lâmina coletada ou estimada; Si é a distância do coletor ou emissor ao centro do pivô central.</w:t>
      </w:r>
    </w:p>
    <w:p w14:paraId="0CCBD12A" w14:textId="77777777" w:rsidR="009214DF" w:rsidRPr="00790498" w:rsidRDefault="009214DF" w:rsidP="00790498">
      <w:pPr>
        <w:spacing w:line="360" w:lineRule="auto"/>
        <w:ind w:firstLine="502"/>
        <w:jc w:val="both"/>
        <w:rPr>
          <w:rFonts w:ascii="Times New Roman" w:hAnsi="Times New Roman" w:cs="Times New Roman"/>
          <w:sz w:val="24"/>
          <w:szCs w:val="24"/>
        </w:rPr>
      </w:pPr>
      <w:r w:rsidRPr="00790498">
        <w:rPr>
          <w:rFonts w:ascii="Times New Roman" w:hAnsi="Times New Roman" w:cs="Times New Roman"/>
          <w:sz w:val="24"/>
          <w:szCs w:val="24"/>
        </w:rPr>
        <w:t>Tanto no ARM quanto no ATP, os testes para determinar a uniformidade potencial na distribuição de água também foram realizados através da análise da carta de emissores dos pivôs centrais. Esta análise envolve o registro de todos os emissores instalados no equipamento, desde a base até o último emissor. A comparação entre os emissores existentes e suas vazões de catálogo possibilitou estimar a lâmina de água aplicada em cada ponto do equipamento.</w:t>
      </w:r>
    </w:p>
    <w:p w14:paraId="0223EF56" w14:textId="77777777" w:rsidR="009214DF" w:rsidRPr="00790498" w:rsidRDefault="009214DF" w:rsidP="00790498">
      <w:pPr>
        <w:spacing w:line="360" w:lineRule="auto"/>
        <w:ind w:firstLine="502"/>
        <w:jc w:val="both"/>
        <w:rPr>
          <w:rFonts w:ascii="Times New Roman" w:hAnsi="Times New Roman" w:cs="Times New Roman"/>
          <w:sz w:val="24"/>
          <w:szCs w:val="24"/>
        </w:rPr>
      </w:pPr>
      <w:r w:rsidRPr="00790498">
        <w:rPr>
          <w:rFonts w:ascii="Times New Roman" w:hAnsi="Times New Roman" w:cs="Times New Roman"/>
          <w:sz w:val="24"/>
          <w:szCs w:val="24"/>
        </w:rPr>
        <w:t>Para considerar a sobreposição das lâminas de água dos emissores, foi calculado que a lâmina em cada ponto é composta por 50% da vazão do emissor local e 25% da vazão dos emissores adjacentes (anteriores e posteriores).</w:t>
      </w:r>
    </w:p>
    <w:p w14:paraId="37A156C3" w14:textId="77777777" w:rsidR="009214DF" w:rsidRPr="00790498" w:rsidRDefault="009214DF" w:rsidP="00790498">
      <w:pPr>
        <w:spacing w:line="360" w:lineRule="auto"/>
        <w:ind w:firstLine="502"/>
        <w:jc w:val="both"/>
        <w:rPr>
          <w:rFonts w:ascii="Times New Roman" w:hAnsi="Times New Roman" w:cs="Times New Roman"/>
          <w:sz w:val="24"/>
          <w:szCs w:val="24"/>
        </w:rPr>
      </w:pPr>
      <w:r w:rsidRPr="00790498">
        <w:rPr>
          <w:rFonts w:ascii="Times New Roman" w:hAnsi="Times New Roman" w:cs="Times New Roman"/>
          <w:sz w:val="24"/>
          <w:szCs w:val="24"/>
        </w:rPr>
        <w:t xml:space="preserve">Durante a avaliação, foram analisados 94 pivôs centrais distribuídos em 19 fazendas dentro do ATP e todos os 43 pivôs avaliados no ARM, como ilustrado na Figura 1. A eficácia </w:t>
      </w:r>
      <w:r w:rsidRPr="00790498">
        <w:rPr>
          <w:rFonts w:ascii="Times New Roman" w:hAnsi="Times New Roman" w:cs="Times New Roman"/>
          <w:sz w:val="24"/>
          <w:szCs w:val="24"/>
        </w:rPr>
        <w:lastRenderedPageBreak/>
        <w:t xml:space="preserve">da uniformidade de distribuição de água foi quantificada utilizando o coeficiente de uniformidade de Christiansen </w:t>
      </w:r>
      <w:sdt>
        <w:sdtPr>
          <w:rPr>
            <w:rFonts w:ascii="Times New Roman" w:hAnsi="Times New Roman" w:cs="Times New Roman"/>
            <w:sz w:val="24"/>
            <w:szCs w:val="24"/>
          </w:rPr>
          <w:tag w:val="MENDELEY_CITATION_v3_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"/>
          <w:id w:val="1326862622"/>
          <w:placeholder>
            <w:docPart w:val="421FF9D33C1F4D6B81F98981CBF5EE01"/>
          </w:placeholder>
        </w:sdtPr>
        <w:sdtEndPr/>
        <w:sdtContent>
          <w:r w:rsidRPr="00790498">
            <w:rPr>
              <w:rFonts w:ascii="Times New Roman" w:hAnsi="Times New Roman" w:cs="Times New Roman"/>
              <w:sz w:val="24"/>
              <w:szCs w:val="24"/>
            </w:rPr>
            <w:t>(BERNARDO et al., 2019; CHRISTIANSEN, 1942; HEERMANN; HEIN, 1968)</w:t>
          </w:r>
        </w:sdtContent>
      </w:sdt>
      <w:r w:rsidRPr="00790498">
        <w:rPr>
          <w:rFonts w:ascii="Times New Roman" w:hAnsi="Times New Roman" w:cs="Times New Roman"/>
          <w:sz w:val="24"/>
          <w:szCs w:val="24"/>
        </w:rPr>
        <w:t>, ajustado para a determinação via carta de emissores do equipamento (CUCCE). O CUCCE foi calculado com base nas lâminas de água estimadas pela carta de aspersão fornecida pelo fabricante de cada emissor.</w:t>
      </w:r>
    </w:p>
    <w:p w14:paraId="438A4A3D" w14:textId="77777777" w:rsidR="009214DF" w:rsidRPr="00790498" w:rsidRDefault="009214DF" w:rsidP="00790498">
      <w:pPr>
        <w:spacing w:line="360" w:lineRule="auto"/>
        <w:ind w:firstLine="502"/>
        <w:jc w:val="both"/>
        <w:rPr>
          <w:rFonts w:ascii="Times New Roman" w:hAnsi="Times New Roman" w:cs="Times New Roman"/>
          <w:sz w:val="24"/>
          <w:szCs w:val="24"/>
        </w:rPr>
      </w:pPr>
      <w:r w:rsidRPr="00790498">
        <w:rPr>
          <w:rFonts w:ascii="Times New Roman" w:hAnsi="Times New Roman" w:cs="Times New Roman"/>
          <w:sz w:val="24"/>
          <w:szCs w:val="24"/>
        </w:rPr>
        <w:t>Os cálculos foram baseados na seguinte equação, que considera os dados de vazão dos emissores e a distância de cada emissor até o centro do pivô central:</w:t>
      </w:r>
    </w:p>
    <w:p w14:paraId="2B4ED702" w14:textId="56B60A28" w:rsidR="009214DF" w:rsidRPr="00790498" w:rsidRDefault="00C93E8F" w:rsidP="00790498">
      <w:pPr>
        <w:spacing w:line="360" w:lineRule="auto"/>
        <w:ind w:firstLine="502"/>
        <w:jc w:val="both"/>
        <w:rPr>
          <w:rFonts w:ascii="Times New Roman" w:hAnsi="Times New Roman" w:cs="Times New Roman"/>
          <w:sz w:val="24"/>
          <w:szCs w:val="24"/>
        </w:rPr>
      </w:pPr>
      <m:oMathPara>
        <m:oMath>
          <m:r>
            <m:rPr>
              <m:sty m:val="p"/>
            </m:rPr>
            <w:rPr>
              <w:rFonts w:ascii="Cambria Math" w:hAnsi="Cambria Math" w:cs="Times New Roman"/>
              <w:sz w:val="24"/>
              <w:szCs w:val="24"/>
            </w:rPr>
            <m:t>CUCCE=100</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1-</m:t>
              </m:r>
              <m:f>
                <m:fPr>
                  <m:ctrlPr>
                    <w:rPr>
                      <w:rFonts w:ascii="Cambria Math" w:hAnsi="Cambria Math" w:cs="Times New Roman"/>
                      <w:sz w:val="24"/>
                      <w:szCs w:val="24"/>
                    </w:rPr>
                  </m:ctrlPr>
                </m:fPr>
                <m:num>
                  <m:nary>
                    <m:naryPr>
                      <m:chr m:val="∑"/>
                      <m:limLoc m:val="subSup"/>
                      <m:ctrlPr>
                        <w:rPr>
                          <w:rFonts w:ascii="Cambria Math" w:hAnsi="Cambria Math" w:cs="Times New Roman"/>
                          <w:sz w:val="24"/>
                          <w:szCs w:val="24"/>
                        </w:rPr>
                      </m:ctrlPr>
                    </m:naryPr>
                    <m:sub>
                      <m:r>
                        <m:rPr>
                          <m:sty m:val="p"/>
                        </m:rPr>
                        <w:rPr>
                          <w:rFonts w:ascii="Cambria Math" w:hAnsi="Cambria Math" w:cs="Times New Roman"/>
                          <w:sz w:val="24"/>
                          <w:szCs w:val="24"/>
                        </w:rPr>
                        <m:t>i=1</m:t>
                      </m:r>
                    </m:sub>
                    <m:sup>
                      <m:r>
                        <m:rPr>
                          <m:sty m:val="p"/>
                        </m:rPr>
                        <w:rPr>
                          <w:rFonts w:ascii="Cambria Math" w:hAnsi="Cambria Math" w:cs="Times New Roman"/>
                          <w:sz w:val="24"/>
                          <w:szCs w:val="24"/>
                        </w:rPr>
                        <m:t>n</m:t>
                      </m:r>
                    </m:sup>
                    <m:e>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i</m:t>
                          </m:r>
                        </m:sub>
                      </m:sSub>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Y</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nary>
                                <m:naryPr>
                                  <m:chr m:val="∑"/>
                                  <m:limLoc m:val="subSup"/>
                                  <m:ctrlPr>
                                    <w:rPr>
                                      <w:rFonts w:ascii="Cambria Math" w:hAnsi="Cambria Math" w:cs="Times New Roman"/>
                                      <w:sz w:val="24"/>
                                      <w:szCs w:val="24"/>
                                    </w:rPr>
                                  </m:ctrlPr>
                                </m:naryPr>
                                <m:sub>
                                  <m:r>
                                    <m:rPr>
                                      <m:sty m:val="p"/>
                                    </m:rPr>
                                    <w:rPr>
                                      <w:rFonts w:ascii="Cambria Math" w:hAnsi="Cambria Math" w:cs="Times New Roman"/>
                                      <w:sz w:val="24"/>
                                      <w:szCs w:val="24"/>
                                    </w:rPr>
                                    <m:t>i=1</m:t>
                                  </m:r>
                                </m:sub>
                                <m:sup>
                                  <m:r>
                                    <m:rPr>
                                      <m:sty m:val="p"/>
                                    </m:rPr>
                                    <w:rPr>
                                      <w:rFonts w:ascii="Cambria Math" w:hAnsi="Cambria Math" w:cs="Times New Roman"/>
                                      <w:sz w:val="24"/>
                                      <w:szCs w:val="24"/>
                                    </w:rPr>
                                    <m:t>n</m:t>
                                  </m:r>
                                </m:sup>
                                <m:e>
                                  <m:sSub>
                                    <m:sSubPr>
                                      <m:ctrlPr>
                                        <w:rPr>
                                          <w:rFonts w:ascii="Cambria Math" w:hAnsi="Cambria Math" w:cs="Times New Roman"/>
                                          <w:sz w:val="24"/>
                                          <w:szCs w:val="24"/>
                                        </w:rPr>
                                      </m:ctrlPr>
                                    </m:sSubPr>
                                    <m:e>
                                      <m:r>
                                        <m:rPr>
                                          <m:sty m:val="p"/>
                                        </m:rPr>
                                        <w:rPr>
                                          <w:rFonts w:ascii="Cambria Math" w:hAnsi="Cambria Math" w:cs="Times New Roman"/>
                                          <w:sz w:val="24"/>
                                          <w:szCs w:val="24"/>
                                        </w:rPr>
                                        <m:t>Y</m:t>
                                      </m:r>
                                    </m:e>
                                    <m:sub>
                                      <m:r>
                                        <m:rPr>
                                          <m:sty m:val="p"/>
                                        </m:rPr>
                                        <w:rPr>
                                          <w:rFonts w:ascii="Cambria Math" w:hAnsi="Cambria Math" w:cs="Times New Roman"/>
                                          <w:sz w:val="24"/>
                                          <w:szCs w:val="24"/>
                                        </w:rPr>
                                        <m:t>i</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i</m:t>
                                      </m:r>
                                    </m:sub>
                                  </m:sSub>
                                </m:e>
                              </m:nary>
                            </m:num>
                            <m:den>
                              <m:nary>
                                <m:naryPr>
                                  <m:chr m:val="∑"/>
                                  <m:limLoc m:val="subSup"/>
                                  <m:ctrlPr>
                                    <w:rPr>
                                      <w:rFonts w:ascii="Cambria Math" w:hAnsi="Cambria Math" w:cs="Times New Roman"/>
                                      <w:sz w:val="24"/>
                                      <w:szCs w:val="24"/>
                                    </w:rPr>
                                  </m:ctrlPr>
                                </m:naryPr>
                                <m:sub>
                                  <m:r>
                                    <m:rPr>
                                      <m:sty m:val="p"/>
                                    </m:rPr>
                                    <w:rPr>
                                      <w:rFonts w:ascii="Cambria Math" w:hAnsi="Cambria Math" w:cs="Times New Roman"/>
                                      <w:sz w:val="24"/>
                                      <w:szCs w:val="24"/>
                                    </w:rPr>
                                    <m:t>i=1</m:t>
                                  </m:r>
                                </m:sub>
                                <m:sup>
                                  <m:r>
                                    <m:rPr>
                                      <m:sty m:val="p"/>
                                    </m:rPr>
                                    <w:rPr>
                                      <w:rFonts w:ascii="Cambria Math" w:hAnsi="Cambria Math" w:cs="Times New Roman"/>
                                      <w:sz w:val="24"/>
                                      <w:szCs w:val="24"/>
                                    </w:rPr>
                                    <m:t>n</m:t>
                                  </m:r>
                                </m:sup>
                                <m:e>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i</m:t>
                                      </m:r>
                                    </m:sub>
                                  </m:sSub>
                                </m:e>
                              </m:nary>
                            </m:den>
                          </m:f>
                        </m:e>
                      </m:d>
                    </m:e>
                  </m:nary>
                </m:num>
                <m:den>
                  <m:nary>
                    <m:naryPr>
                      <m:chr m:val="∑"/>
                      <m:limLoc m:val="subSup"/>
                      <m:ctrlPr>
                        <w:rPr>
                          <w:rFonts w:ascii="Cambria Math" w:hAnsi="Cambria Math" w:cs="Times New Roman"/>
                          <w:sz w:val="24"/>
                          <w:szCs w:val="24"/>
                        </w:rPr>
                      </m:ctrlPr>
                    </m:naryPr>
                    <m:sub>
                      <m:r>
                        <m:rPr>
                          <m:sty m:val="p"/>
                        </m:rPr>
                        <w:rPr>
                          <w:rFonts w:ascii="Cambria Math" w:hAnsi="Cambria Math" w:cs="Times New Roman"/>
                          <w:sz w:val="24"/>
                          <w:szCs w:val="24"/>
                        </w:rPr>
                        <m:t>i=1</m:t>
                      </m:r>
                    </m:sub>
                    <m:sup>
                      <m:r>
                        <m:rPr>
                          <m:sty m:val="p"/>
                        </m:rPr>
                        <w:rPr>
                          <w:rFonts w:ascii="Cambria Math" w:hAnsi="Cambria Math" w:cs="Times New Roman"/>
                          <w:sz w:val="24"/>
                          <w:szCs w:val="24"/>
                        </w:rPr>
                        <m:t>n</m:t>
                      </m:r>
                    </m:sup>
                    <m:e>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i</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i</m:t>
                          </m:r>
                        </m:sub>
                      </m:sSub>
                    </m:e>
                  </m:nary>
                </m:den>
              </m:f>
            </m:e>
          </m:d>
        </m:oMath>
      </m:oMathPara>
    </w:p>
    <w:p w14:paraId="0A9B4132" w14:textId="77777777" w:rsidR="009214DF" w:rsidRPr="00790498" w:rsidRDefault="00B11D6C" w:rsidP="00790498">
      <w:pPr>
        <w:spacing w:line="360" w:lineRule="auto"/>
        <w:ind w:firstLine="502"/>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Y</m:t>
              </m:r>
            </m:e>
            <m:sub>
              <m:r>
                <w:rPr>
                  <w:rFonts w:ascii="Cambria Math" w:hAnsi="Cambria Math" w:cs="Times New Roman"/>
                  <w:sz w:val="24"/>
                  <w:szCs w:val="24"/>
                </w:rPr>
                <m:t>i</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0.5</m:t>
                  </m:r>
                  <m:r>
                    <w:rPr>
                      <w:rFonts w:ascii="Cambria Math" w:hAnsi="Cambria Math" w:cs="Times New Roman"/>
                      <w:sz w:val="24"/>
                      <w:szCs w:val="24"/>
                    </w:rPr>
                    <m:t>X</m:t>
                  </m:r>
                </m:e>
                <m:sub>
                  <m:r>
                    <w:rPr>
                      <w:rFonts w:ascii="Cambria Math" w:hAnsi="Cambria Math" w:cs="Times New Roman"/>
                      <w:sz w:val="24"/>
                      <w:szCs w:val="24"/>
                    </w:rPr>
                    <m:t>i</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0.25</m:t>
                  </m:r>
                  <m:r>
                    <w:rPr>
                      <w:rFonts w:ascii="Cambria Math" w:hAnsi="Cambria Math" w:cs="Times New Roman"/>
                      <w:sz w:val="24"/>
                      <w:szCs w:val="24"/>
                    </w:rPr>
                    <m:t>X</m:t>
                  </m:r>
                </m:e>
                <m:sub>
                  <m:r>
                    <w:rPr>
                      <w:rFonts w:ascii="Cambria Math" w:hAnsi="Cambria Math" w:cs="Times New Roman"/>
                      <w:sz w:val="24"/>
                      <w:szCs w:val="24"/>
                    </w:rPr>
                    <m:t>i</m:t>
                  </m:r>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0.25</m:t>
                  </m:r>
                  <m:r>
                    <w:rPr>
                      <w:rFonts w:ascii="Cambria Math" w:hAnsi="Cambria Math" w:cs="Times New Roman"/>
                      <w:sz w:val="24"/>
                      <w:szCs w:val="24"/>
                    </w:rPr>
                    <m:t>X</m:t>
                  </m:r>
                </m:e>
                <m:sub>
                  <m:r>
                    <w:rPr>
                      <w:rFonts w:ascii="Cambria Math" w:hAnsi="Cambria Math" w:cs="Times New Roman"/>
                      <w:sz w:val="24"/>
                      <w:szCs w:val="24"/>
                    </w:rPr>
                    <m:t>i</m:t>
                  </m:r>
                  <m:r>
                    <m:rPr>
                      <m:sty m:val="p"/>
                    </m:rPr>
                    <w:rPr>
                      <w:rFonts w:ascii="Cambria Math" w:hAnsi="Cambria Math" w:cs="Times New Roman"/>
                      <w:sz w:val="24"/>
                      <w:szCs w:val="24"/>
                    </w:rPr>
                    <m:t>+1</m:t>
                  </m:r>
                </m:sub>
              </m:sSub>
            </m:num>
            <m:den>
              <m:r>
                <w:rPr>
                  <w:rFonts w:ascii="Cambria Math" w:hAnsi="Cambria Math" w:cs="Times New Roman"/>
                  <w:sz w:val="24"/>
                  <w:szCs w:val="24"/>
                </w:rPr>
                <m:t>Ai</m:t>
              </m:r>
            </m:den>
          </m:f>
        </m:oMath>
      </m:oMathPara>
    </w:p>
    <w:p w14:paraId="0120CA00" w14:textId="389562A5" w:rsidR="00520B89" w:rsidRDefault="009214DF" w:rsidP="00790498">
      <w:pPr>
        <w:spacing w:line="360" w:lineRule="auto"/>
        <w:ind w:firstLine="502"/>
        <w:jc w:val="both"/>
        <w:rPr>
          <w:rFonts w:ascii="Times New Roman" w:hAnsi="Times New Roman" w:cs="Times New Roman"/>
          <w:sz w:val="24"/>
          <w:szCs w:val="24"/>
        </w:rPr>
      </w:pPr>
      <w:r w:rsidRPr="00790498">
        <w:rPr>
          <w:rFonts w:ascii="Times New Roman" w:hAnsi="Times New Roman" w:cs="Times New Roman"/>
          <w:sz w:val="24"/>
          <w:szCs w:val="24"/>
        </w:rPr>
        <w:t>em que, CUCCE representa o Coeficiente de Uniformidade de Christiansen ajustado pela carta de emissores do equipamento; Yi é a vazão ponderada do emissor; Si é a distância do emissor ao centro do pivô central; Xi é a vazão de catálogo do emissor; Ai é a área de irrigação de cada emissor.</w:t>
      </w:r>
    </w:p>
    <w:p w14:paraId="55F63892" w14:textId="77777777" w:rsidR="00520B89" w:rsidRDefault="00520B89">
      <w:pPr>
        <w:rPr>
          <w:rFonts w:ascii="Times New Roman" w:hAnsi="Times New Roman" w:cs="Times New Roman"/>
          <w:sz w:val="24"/>
          <w:szCs w:val="24"/>
        </w:rPr>
      </w:pPr>
      <w:r>
        <w:rPr>
          <w:rFonts w:ascii="Times New Roman" w:hAnsi="Times New Roman" w:cs="Times New Roman"/>
          <w:sz w:val="24"/>
          <w:szCs w:val="24"/>
        </w:rPr>
        <w:br w:type="page"/>
      </w:r>
    </w:p>
    <w:p w14:paraId="1C743A6C" w14:textId="6955D769" w:rsidR="009214DF" w:rsidRPr="00790498" w:rsidRDefault="00790498" w:rsidP="00790498">
      <w:pPr>
        <w:pStyle w:val="PargrafodaLista"/>
        <w:numPr>
          <w:ilvl w:val="1"/>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Pressurização do Sistema</w:t>
      </w:r>
    </w:p>
    <w:p w14:paraId="31F203B2" w14:textId="77777777" w:rsidR="009214DF" w:rsidRPr="00790498" w:rsidRDefault="009214DF" w:rsidP="00790498">
      <w:pPr>
        <w:spacing w:line="360" w:lineRule="auto"/>
        <w:ind w:firstLine="502"/>
        <w:jc w:val="both"/>
        <w:rPr>
          <w:rFonts w:ascii="Times New Roman" w:hAnsi="Times New Roman" w:cs="Times New Roman"/>
          <w:sz w:val="24"/>
          <w:szCs w:val="24"/>
        </w:rPr>
      </w:pPr>
      <w:r w:rsidRPr="00790498">
        <w:rPr>
          <w:rFonts w:ascii="Times New Roman" w:hAnsi="Times New Roman" w:cs="Times New Roman"/>
          <w:sz w:val="24"/>
          <w:szCs w:val="24"/>
        </w:rPr>
        <w:t>No ATP, a avaliação da conformidade da irrigação também incluiu a avaliação da pressurização do sistema de irrigação, que foi realizada através da medição da pressão em três pontos estratégicos, utilizando manômetros adequados para este propósito. Inicialmente, o pivô foi posicionado apontando para o ponto mais alto do terreno, garantindo a condição crítica da pressurização. Neste estado, a primeira medição de pressão ocorreu no segundo tubo após a última torre de sustentação, diretamente na tubulação pendural dos emissores e antes da válvula reguladora de pressão. Esta localização foi designada como "Pressão na Ponta".</w:t>
      </w:r>
    </w:p>
    <w:p w14:paraId="2C84A1ED" w14:textId="77777777" w:rsidR="009214DF" w:rsidRPr="00790498" w:rsidRDefault="009214DF" w:rsidP="00790498">
      <w:pPr>
        <w:spacing w:line="360" w:lineRule="auto"/>
        <w:ind w:firstLine="502"/>
        <w:jc w:val="both"/>
        <w:rPr>
          <w:rFonts w:ascii="Times New Roman" w:hAnsi="Times New Roman" w:cs="Times New Roman"/>
          <w:sz w:val="24"/>
          <w:szCs w:val="24"/>
        </w:rPr>
      </w:pPr>
      <w:r w:rsidRPr="00790498">
        <w:rPr>
          <w:rFonts w:ascii="Times New Roman" w:hAnsi="Times New Roman" w:cs="Times New Roman"/>
          <w:sz w:val="24"/>
          <w:szCs w:val="24"/>
        </w:rPr>
        <w:t>Segue-se a "Pressão na Base", medida no tubo de subida da torre central durante a operação do equipamento com a vazão ainda estabilizada. A terceira medição, "Pressão na Motobomba", foi realizada imediatamente após a motobomba, também durante operação normal do sistema.</w:t>
      </w:r>
    </w:p>
    <w:p w14:paraId="7744C7E7" w14:textId="77777777" w:rsidR="009214DF" w:rsidRPr="00790498" w:rsidRDefault="009214DF" w:rsidP="00790498">
      <w:pPr>
        <w:spacing w:line="360" w:lineRule="auto"/>
        <w:ind w:firstLine="502"/>
        <w:jc w:val="both"/>
        <w:rPr>
          <w:rFonts w:ascii="Times New Roman" w:hAnsi="Times New Roman" w:cs="Times New Roman"/>
          <w:sz w:val="24"/>
          <w:szCs w:val="24"/>
        </w:rPr>
      </w:pPr>
      <w:r w:rsidRPr="00790498">
        <w:rPr>
          <w:rFonts w:ascii="Times New Roman" w:hAnsi="Times New Roman" w:cs="Times New Roman"/>
          <w:sz w:val="24"/>
          <w:szCs w:val="24"/>
        </w:rPr>
        <w:t>A Figura 2 ilustra de forma esquemática os pontos exatos de medição, fornecendo uma visualização clara da configuração e localização das medições essenciais para a análise da eficácia da pressurização no sistema de irrigação.</w:t>
      </w:r>
    </w:p>
    <w:p w14:paraId="24B5DBB6" w14:textId="77777777" w:rsidR="009214DF" w:rsidRPr="00790498" w:rsidRDefault="009214DF" w:rsidP="00790498">
      <w:pPr>
        <w:spacing w:line="360" w:lineRule="auto"/>
        <w:ind w:firstLine="502"/>
        <w:jc w:val="both"/>
        <w:rPr>
          <w:rFonts w:ascii="Times New Roman" w:hAnsi="Times New Roman" w:cs="Times New Roman"/>
          <w:sz w:val="24"/>
          <w:szCs w:val="24"/>
        </w:rPr>
      </w:pPr>
    </w:p>
    <w:p w14:paraId="6FBA9315" w14:textId="77777777" w:rsidR="009214DF" w:rsidRPr="00790498" w:rsidRDefault="009214DF" w:rsidP="00790498">
      <w:pPr>
        <w:spacing w:line="360" w:lineRule="auto"/>
        <w:ind w:firstLine="502"/>
        <w:jc w:val="both"/>
        <w:rPr>
          <w:rFonts w:ascii="Times New Roman" w:hAnsi="Times New Roman" w:cs="Times New Roman"/>
          <w:sz w:val="24"/>
          <w:szCs w:val="24"/>
        </w:rPr>
      </w:pPr>
      <w:r w:rsidRPr="00790498">
        <w:rPr>
          <w:rFonts w:ascii="Times New Roman" w:hAnsi="Times New Roman" w:cs="Times New Roman"/>
          <w:noProof/>
          <w:sz w:val="24"/>
          <w:szCs w:val="24"/>
        </w:rPr>
        <w:drawing>
          <wp:inline distT="0" distB="0" distL="0" distR="0" wp14:anchorId="004196FB" wp14:editId="6F49C644">
            <wp:extent cx="5760720" cy="1108710"/>
            <wp:effectExtent l="0" t="0" r="0" b="0"/>
            <wp:docPr id="1049" name="Imagem 1048">
              <a:extLst xmlns:a="http://schemas.openxmlformats.org/drawingml/2006/main">
                <a:ext uri="{FF2B5EF4-FFF2-40B4-BE49-F238E27FC236}">
                  <a16:creationId xmlns:a16="http://schemas.microsoft.com/office/drawing/2014/main" id="{0AB4CFB3-2257-D140-A054-E9FA768D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m 1048">
                      <a:extLst>
                        <a:ext uri="{FF2B5EF4-FFF2-40B4-BE49-F238E27FC236}">
                          <a16:creationId xmlns:a16="http://schemas.microsoft.com/office/drawing/2014/main" id="{0AB4CFB3-2257-D140-A054-E9FA768D2365}"/>
                        </a:ext>
                      </a:extLst>
                    </pic:cNvPr>
                    <pic:cNvPicPr>
                      <a:picLocks noChangeAspect="1"/>
                    </pic:cNvPicPr>
                  </pic:nvPicPr>
                  <pic:blipFill>
                    <a:blip r:embed="rId6"/>
                    <a:stretch>
                      <a:fillRect/>
                    </a:stretch>
                  </pic:blipFill>
                  <pic:spPr>
                    <a:xfrm>
                      <a:off x="0" y="0"/>
                      <a:ext cx="5760720" cy="1108710"/>
                    </a:xfrm>
                    <a:prstGeom prst="rect">
                      <a:avLst/>
                    </a:prstGeom>
                  </pic:spPr>
                </pic:pic>
              </a:graphicData>
            </a:graphic>
          </wp:inline>
        </w:drawing>
      </w:r>
    </w:p>
    <w:p w14:paraId="5712A7D4" w14:textId="67AA5B60" w:rsidR="00520B89" w:rsidRDefault="009214DF" w:rsidP="00520B89">
      <w:pPr>
        <w:spacing w:line="360" w:lineRule="auto"/>
        <w:ind w:firstLine="502"/>
        <w:jc w:val="both"/>
        <w:rPr>
          <w:rFonts w:ascii="Times New Roman" w:hAnsi="Times New Roman" w:cs="Times New Roman"/>
          <w:sz w:val="24"/>
          <w:szCs w:val="24"/>
        </w:rPr>
      </w:pPr>
      <w:r w:rsidRPr="00790498">
        <w:rPr>
          <w:rFonts w:ascii="Times New Roman" w:hAnsi="Times New Roman" w:cs="Times New Roman"/>
          <w:sz w:val="24"/>
          <w:szCs w:val="24"/>
        </w:rPr>
        <w:t xml:space="preserve"> </w:t>
      </w:r>
      <w:r w:rsidRPr="00520B89">
        <w:rPr>
          <w:rFonts w:ascii="Times New Roman" w:hAnsi="Times New Roman" w:cs="Times New Roman"/>
          <w:b/>
          <w:bCs/>
          <w:sz w:val="24"/>
          <w:szCs w:val="24"/>
        </w:rPr>
        <w:t xml:space="preserve">Figura </w:t>
      </w:r>
      <w:r w:rsidRPr="00520B89">
        <w:rPr>
          <w:rFonts w:ascii="Times New Roman" w:hAnsi="Times New Roman" w:cs="Times New Roman"/>
          <w:b/>
          <w:bCs/>
          <w:sz w:val="24"/>
          <w:szCs w:val="24"/>
        </w:rPr>
        <w:fldChar w:fldCharType="begin"/>
      </w:r>
      <w:r w:rsidRPr="00520B89">
        <w:rPr>
          <w:rFonts w:ascii="Times New Roman" w:hAnsi="Times New Roman" w:cs="Times New Roman"/>
          <w:b/>
          <w:bCs/>
          <w:sz w:val="24"/>
          <w:szCs w:val="24"/>
        </w:rPr>
        <w:instrText xml:space="preserve"> SEQ Figure \* ARABIC </w:instrText>
      </w:r>
      <w:r w:rsidRPr="00520B89">
        <w:rPr>
          <w:rFonts w:ascii="Times New Roman" w:hAnsi="Times New Roman" w:cs="Times New Roman"/>
          <w:b/>
          <w:bCs/>
          <w:sz w:val="24"/>
          <w:szCs w:val="24"/>
        </w:rPr>
        <w:fldChar w:fldCharType="separate"/>
      </w:r>
      <w:r w:rsidR="009B2B78">
        <w:rPr>
          <w:rFonts w:ascii="Times New Roman" w:hAnsi="Times New Roman" w:cs="Times New Roman"/>
          <w:b/>
          <w:bCs/>
          <w:noProof/>
          <w:sz w:val="24"/>
          <w:szCs w:val="24"/>
        </w:rPr>
        <w:t>2</w:t>
      </w:r>
      <w:r w:rsidRPr="00520B89">
        <w:rPr>
          <w:rFonts w:ascii="Times New Roman" w:hAnsi="Times New Roman" w:cs="Times New Roman"/>
          <w:b/>
          <w:bCs/>
          <w:sz w:val="24"/>
          <w:szCs w:val="24"/>
        </w:rPr>
        <w:fldChar w:fldCharType="end"/>
      </w:r>
      <w:r w:rsidRPr="00790498">
        <w:rPr>
          <w:rFonts w:ascii="Times New Roman" w:hAnsi="Times New Roman" w:cs="Times New Roman"/>
          <w:sz w:val="24"/>
          <w:szCs w:val="24"/>
        </w:rPr>
        <w:t xml:space="preserve"> – Esquema dos pontos de medição de pressão no sistema de irrigação por pivô central. Pressão na Motobomba: local de medição da pressão imediatamente após a motobomba, indicando a pressão de saída do sistema de bombeamento. Pressão na Base: ponto de medição localizado no tubo de subida da torre central, refletindo a pressão no início do sistema de distribuição de água. Pressão na Ponta: ponto de medição na extremidade do pivô, após o último emissor, antes da válvula reguladora de pressão, mostrando a pressão no ponto final do alcance do sistema.</w:t>
      </w:r>
    </w:p>
    <w:p w14:paraId="0E12544F" w14:textId="77777777" w:rsidR="00520B89" w:rsidRDefault="00520B89">
      <w:pPr>
        <w:rPr>
          <w:rFonts w:ascii="Times New Roman" w:hAnsi="Times New Roman" w:cs="Times New Roman"/>
          <w:sz w:val="24"/>
          <w:szCs w:val="24"/>
        </w:rPr>
      </w:pPr>
      <w:r>
        <w:rPr>
          <w:rFonts w:ascii="Times New Roman" w:hAnsi="Times New Roman" w:cs="Times New Roman"/>
          <w:sz w:val="24"/>
          <w:szCs w:val="24"/>
        </w:rPr>
        <w:br w:type="page"/>
      </w:r>
    </w:p>
    <w:p w14:paraId="429242B3" w14:textId="4CE28AF4" w:rsidR="009214DF" w:rsidRPr="00790498" w:rsidRDefault="00790498" w:rsidP="00790498">
      <w:pPr>
        <w:pStyle w:val="PargrafodaLista"/>
        <w:numPr>
          <w:ilvl w:val="1"/>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Movimentação do Sistema</w:t>
      </w:r>
    </w:p>
    <w:p w14:paraId="00159663" w14:textId="77777777" w:rsidR="009214DF" w:rsidRPr="00790498" w:rsidRDefault="009214DF" w:rsidP="00790498">
      <w:pPr>
        <w:spacing w:line="360" w:lineRule="auto"/>
        <w:ind w:firstLine="502"/>
        <w:jc w:val="both"/>
        <w:rPr>
          <w:rFonts w:ascii="Times New Roman" w:hAnsi="Times New Roman" w:cs="Times New Roman"/>
          <w:sz w:val="24"/>
          <w:szCs w:val="24"/>
        </w:rPr>
      </w:pPr>
      <w:r w:rsidRPr="00790498">
        <w:rPr>
          <w:rFonts w:ascii="Times New Roman" w:hAnsi="Times New Roman" w:cs="Times New Roman"/>
          <w:sz w:val="24"/>
          <w:szCs w:val="24"/>
        </w:rPr>
        <w:t>A conformidade da irrigação no ATP foi avaliada também considerando a movimentação do sistema de pivô central, através de dois métodos principais: teste de velocidade e verificação da adequação do percentímetro. O teste de velocidade começou com a marcação de três bandeiras, posicionadas a partir de 10 metros da roda dianteira do sistema, espaçadas por 10 metros cada. Após a estabilização da velocidade do equipamento na primeira bandeira, mediu-se o tempo necessário para a roda dianteira alcançar cada bandeira subsequente. A média desses tempos forneceu a base para calcular a velocidade de movimentação do sistema em metros por minuto, representando a velocidade operacional a 100%.</w:t>
      </w:r>
    </w:p>
    <w:p w14:paraId="573700C5" w14:textId="77777777" w:rsidR="009214DF" w:rsidRPr="00790498" w:rsidRDefault="009214DF" w:rsidP="00790498">
      <w:pPr>
        <w:spacing w:line="360" w:lineRule="auto"/>
        <w:ind w:firstLine="502"/>
        <w:jc w:val="both"/>
        <w:rPr>
          <w:rFonts w:ascii="Times New Roman" w:hAnsi="Times New Roman" w:cs="Times New Roman"/>
          <w:sz w:val="24"/>
          <w:szCs w:val="24"/>
        </w:rPr>
      </w:pPr>
      <w:r w:rsidRPr="00790498">
        <w:rPr>
          <w:rFonts w:ascii="Times New Roman" w:hAnsi="Times New Roman" w:cs="Times New Roman"/>
          <w:sz w:val="24"/>
          <w:szCs w:val="24"/>
        </w:rPr>
        <w:t>A verificação do percentímetro envolveu testes em diferentes configurações de velocidade (80%, 60%, 40% e 20% da capacidade total), onde a medição precisa do tempo de movimentação e do tempo de parada ofereceu uma análise da velocidade percentual real em comparação com a esperada.</w:t>
      </w:r>
    </w:p>
    <w:p w14:paraId="7425773B" w14:textId="77777777" w:rsidR="009214DF" w:rsidRDefault="009214DF" w:rsidP="00790498">
      <w:pPr>
        <w:spacing w:line="360" w:lineRule="auto"/>
        <w:ind w:firstLine="502"/>
        <w:jc w:val="both"/>
        <w:rPr>
          <w:rFonts w:ascii="Times New Roman" w:hAnsi="Times New Roman" w:cs="Times New Roman"/>
          <w:sz w:val="24"/>
          <w:szCs w:val="24"/>
        </w:rPr>
      </w:pPr>
      <w:r w:rsidRPr="00790498">
        <w:rPr>
          <w:rFonts w:ascii="Times New Roman" w:hAnsi="Times New Roman" w:cs="Times New Roman"/>
          <w:sz w:val="24"/>
          <w:szCs w:val="24"/>
        </w:rPr>
        <w:t>A Figura 3 ilustra o esquema de montagem dos testes, mostrando os pontos específicos onde as medições foram realizadas. Este esquema visual ajuda a entender como os testes foram configurados e fornece uma referência clara para a localização das medições e a configuração das bandeiras.</w:t>
      </w:r>
    </w:p>
    <w:p w14:paraId="76EAF8D3" w14:textId="77777777" w:rsidR="00520B89" w:rsidRDefault="00520B89" w:rsidP="00790498">
      <w:pPr>
        <w:spacing w:line="360" w:lineRule="auto"/>
        <w:ind w:firstLine="502"/>
        <w:jc w:val="both"/>
        <w:rPr>
          <w:rFonts w:ascii="Times New Roman" w:hAnsi="Times New Roman" w:cs="Times New Roman"/>
          <w:sz w:val="24"/>
          <w:szCs w:val="24"/>
        </w:rPr>
      </w:pPr>
    </w:p>
    <w:p w14:paraId="7A96B3DA" w14:textId="77777777" w:rsidR="00520B89" w:rsidRPr="00790498" w:rsidRDefault="00520B89" w:rsidP="00790498">
      <w:pPr>
        <w:spacing w:line="360" w:lineRule="auto"/>
        <w:ind w:firstLine="502"/>
        <w:jc w:val="both"/>
        <w:rPr>
          <w:rFonts w:ascii="Times New Roman" w:hAnsi="Times New Roman" w:cs="Times New Roman"/>
          <w:sz w:val="24"/>
          <w:szCs w:val="24"/>
        </w:rPr>
      </w:pPr>
    </w:p>
    <w:p w14:paraId="5C5C0EF7" w14:textId="77777777" w:rsidR="009214DF" w:rsidRPr="00790498" w:rsidRDefault="009214DF" w:rsidP="00790498">
      <w:pPr>
        <w:spacing w:line="360" w:lineRule="auto"/>
        <w:ind w:firstLine="502"/>
        <w:jc w:val="both"/>
        <w:rPr>
          <w:rFonts w:ascii="Times New Roman" w:hAnsi="Times New Roman" w:cs="Times New Roman"/>
          <w:sz w:val="24"/>
          <w:szCs w:val="24"/>
        </w:rPr>
      </w:pPr>
    </w:p>
    <w:p w14:paraId="52B6EF5F" w14:textId="77777777" w:rsidR="009214DF" w:rsidRPr="00790498" w:rsidRDefault="009214DF" w:rsidP="00790498">
      <w:pPr>
        <w:spacing w:line="360" w:lineRule="auto"/>
        <w:ind w:firstLine="502"/>
        <w:jc w:val="both"/>
        <w:rPr>
          <w:rFonts w:ascii="Times New Roman" w:hAnsi="Times New Roman" w:cs="Times New Roman"/>
          <w:sz w:val="24"/>
          <w:szCs w:val="24"/>
        </w:rPr>
      </w:pPr>
      <w:r w:rsidRPr="00790498">
        <w:rPr>
          <w:rFonts w:ascii="Times New Roman" w:hAnsi="Times New Roman" w:cs="Times New Roman"/>
          <w:noProof/>
          <w:sz w:val="24"/>
          <w:szCs w:val="24"/>
        </w:rPr>
        <w:lastRenderedPageBreak/>
        <w:drawing>
          <wp:inline distT="0" distB="0" distL="0" distR="0" wp14:anchorId="7C48098D" wp14:editId="78F612BF">
            <wp:extent cx="5760720" cy="3246755"/>
            <wp:effectExtent l="0" t="0" r="0" b="0"/>
            <wp:docPr id="1126" name="Imagem 1125">
              <a:extLst xmlns:a="http://schemas.openxmlformats.org/drawingml/2006/main">
                <a:ext uri="{FF2B5EF4-FFF2-40B4-BE49-F238E27FC236}">
                  <a16:creationId xmlns:a16="http://schemas.microsoft.com/office/drawing/2014/main" id="{007FDB0F-C557-D183-371F-4AD43A22EB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Imagem 1125">
                      <a:extLst>
                        <a:ext uri="{FF2B5EF4-FFF2-40B4-BE49-F238E27FC236}">
                          <a16:creationId xmlns:a16="http://schemas.microsoft.com/office/drawing/2014/main" id="{007FDB0F-C557-D183-371F-4AD43A22EB97}"/>
                        </a:ext>
                      </a:extLst>
                    </pic:cNvPr>
                    <pic:cNvPicPr>
                      <a:picLocks noChangeAspect="1"/>
                    </pic:cNvPicPr>
                  </pic:nvPicPr>
                  <pic:blipFill>
                    <a:blip r:embed="rId7"/>
                    <a:stretch>
                      <a:fillRect/>
                    </a:stretch>
                  </pic:blipFill>
                  <pic:spPr>
                    <a:xfrm>
                      <a:off x="0" y="0"/>
                      <a:ext cx="5760720" cy="3246755"/>
                    </a:xfrm>
                    <a:prstGeom prst="rect">
                      <a:avLst/>
                    </a:prstGeom>
                  </pic:spPr>
                </pic:pic>
              </a:graphicData>
            </a:graphic>
          </wp:inline>
        </w:drawing>
      </w:r>
    </w:p>
    <w:p w14:paraId="176C3865" w14:textId="6E030EAC" w:rsidR="00790498" w:rsidRDefault="009214DF" w:rsidP="00790498">
      <w:pPr>
        <w:spacing w:line="360" w:lineRule="auto"/>
        <w:ind w:firstLine="502"/>
        <w:jc w:val="both"/>
        <w:rPr>
          <w:rFonts w:ascii="Times New Roman" w:hAnsi="Times New Roman" w:cs="Times New Roman"/>
          <w:sz w:val="24"/>
          <w:szCs w:val="24"/>
        </w:rPr>
      </w:pPr>
      <w:r w:rsidRPr="00520B89">
        <w:rPr>
          <w:rFonts w:ascii="Times New Roman" w:hAnsi="Times New Roman" w:cs="Times New Roman"/>
          <w:b/>
          <w:bCs/>
          <w:sz w:val="24"/>
          <w:szCs w:val="24"/>
        </w:rPr>
        <w:t xml:space="preserve">Figura </w:t>
      </w:r>
      <w:r w:rsidRPr="00520B89">
        <w:rPr>
          <w:rFonts w:ascii="Times New Roman" w:hAnsi="Times New Roman" w:cs="Times New Roman"/>
          <w:b/>
          <w:bCs/>
          <w:sz w:val="24"/>
          <w:szCs w:val="24"/>
        </w:rPr>
        <w:fldChar w:fldCharType="begin"/>
      </w:r>
      <w:r w:rsidRPr="00520B89">
        <w:rPr>
          <w:rFonts w:ascii="Times New Roman" w:hAnsi="Times New Roman" w:cs="Times New Roman"/>
          <w:b/>
          <w:bCs/>
          <w:sz w:val="24"/>
          <w:szCs w:val="24"/>
        </w:rPr>
        <w:instrText xml:space="preserve"> SEQ Figure \* ARABIC </w:instrText>
      </w:r>
      <w:r w:rsidRPr="00520B89">
        <w:rPr>
          <w:rFonts w:ascii="Times New Roman" w:hAnsi="Times New Roman" w:cs="Times New Roman"/>
          <w:b/>
          <w:bCs/>
          <w:sz w:val="24"/>
          <w:szCs w:val="24"/>
        </w:rPr>
        <w:fldChar w:fldCharType="separate"/>
      </w:r>
      <w:r w:rsidR="009B2B78">
        <w:rPr>
          <w:rFonts w:ascii="Times New Roman" w:hAnsi="Times New Roman" w:cs="Times New Roman"/>
          <w:b/>
          <w:bCs/>
          <w:noProof/>
          <w:sz w:val="24"/>
          <w:szCs w:val="24"/>
        </w:rPr>
        <w:t>3</w:t>
      </w:r>
      <w:r w:rsidRPr="00520B89">
        <w:rPr>
          <w:rFonts w:ascii="Times New Roman" w:hAnsi="Times New Roman" w:cs="Times New Roman"/>
          <w:b/>
          <w:bCs/>
          <w:sz w:val="24"/>
          <w:szCs w:val="24"/>
        </w:rPr>
        <w:fldChar w:fldCharType="end"/>
      </w:r>
      <w:r w:rsidRPr="00790498">
        <w:rPr>
          <w:rFonts w:ascii="Times New Roman" w:hAnsi="Times New Roman" w:cs="Times New Roman"/>
          <w:sz w:val="24"/>
          <w:szCs w:val="24"/>
        </w:rPr>
        <w:t xml:space="preserve"> – Esquema de montagem para os testes de movimentação do sistema de pivô central. Localização das Bandeiras: as bandeiras estão posicionadas a partir de 10 metros da roda da frente, com um espaçamento de 10 metros entre elas, indicadas por retângulos verdes. Roda com Marcação Vermelha: indica a roda dianteira do sistema, onde inicia a medição da distância.</w:t>
      </w:r>
    </w:p>
    <w:p w14:paraId="42AE8219" w14:textId="64DD4350" w:rsidR="009214DF" w:rsidRPr="00790498" w:rsidRDefault="009214DF" w:rsidP="00790498">
      <w:pPr>
        <w:spacing w:line="360" w:lineRule="auto"/>
        <w:ind w:firstLine="502"/>
        <w:jc w:val="both"/>
        <w:rPr>
          <w:rFonts w:ascii="Times New Roman" w:hAnsi="Times New Roman" w:cs="Times New Roman"/>
          <w:sz w:val="24"/>
          <w:szCs w:val="24"/>
        </w:rPr>
      </w:pPr>
      <w:r w:rsidRPr="00790498">
        <w:rPr>
          <w:rFonts w:ascii="Times New Roman" w:hAnsi="Times New Roman" w:cs="Times New Roman"/>
          <w:sz w:val="24"/>
          <w:szCs w:val="24"/>
        </w:rPr>
        <w:t>Sistemas que operam com movimentação contínua foram excluídos, dado que suas características operacionais (controle por inversor de frequência) não se alinham com o método de teste de parada e partida tradicional, não refletindo os resultados da avaliação de movimentação padrão.</w:t>
      </w:r>
    </w:p>
    <w:p w14:paraId="3BC1CA3B" w14:textId="77777777" w:rsidR="009214DF" w:rsidRDefault="009214DF" w:rsidP="009214DF">
      <w:r>
        <w:br w:type="page"/>
      </w:r>
    </w:p>
    <w:p w14:paraId="14780869" w14:textId="7C5B37DD" w:rsidR="009214DF" w:rsidRPr="00790498" w:rsidRDefault="00790498" w:rsidP="00790498">
      <w:pPr>
        <w:pStyle w:val="PargrafodaLista"/>
        <w:numPr>
          <w:ilvl w:val="1"/>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Análises</w:t>
      </w:r>
    </w:p>
    <w:p w14:paraId="5BE768DA" w14:textId="77777777" w:rsidR="009214DF" w:rsidRPr="00790498" w:rsidRDefault="009214DF" w:rsidP="00790498">
      <w:pPr>
        <w:spacing w:line="360" w:lineRule="auto"/>
        <w:ind w:firstLine="502"/>
        <w:jc w:val="both"/>
        <w:rPr>
          <w:rFonts w:ascii="Times New Roman" w:hAnsi="Times New Roman" w:cs="Times New Roman"/>
          <w:sz w:val="24"/>
          <w:szCs w:val="24"/>
        </w:rPr>
      </w:pPr>
      <w:r w:rsidRPr="00790498">
        <w:rPr>
          <w:rFonts w:ascii="Times New Roman" w:hAnsi="Times New Roman" w:cs="Times New Roman"/>
          <w:sz w:val="24"/>
          <w:szCs w:val="24"/>
        </w:rPr>
        <w:t>A análise de dados realizada abordou várias dimensões críticas do desempenho dos equipamentos de irrigação por pivô central, detalhando desde a caracterização geral dos sistemas até análises específicas de uniformidade, pressurização e movimentação. Inicialmente, identificamos as características gerais dos equipamentos, incluindo a área irrigada média por equipamento e a quantidade de testes executados. A lâmina bruta de água aplicada, medida durante a operação a 100% e em um período contínuo de 21 horas, forneceu resultados sobre a capacidade operacional e a eficiência dos sistemas.</w:t>
      </w:r>
    </w:p>
    <w:p w14:paraId="57AE62B0" w14:textId="77777777" w:rsidR="009214DF" w:rsidRPr="00790498" w:rsidRDefault="009214DF" w:rsidP="00790498">
      <w:pPr>
        <w:spacing w:line="360" w:lineRule="auto"/>
        <w:ind w:firstLine="502"/>
        <w:jc w:val="both"/>
        <w:rPr>
          <w:rFonts w:ascii="Times New Roman" w:hAnsi="Times New Roman" w:cs="Times New Roman"/>
          <w:sz w:val="24"/>
          <w:szCs w:val="24"/>
        </w:rPr>
      </w:pPr>
      <w:r w:rsidRPr="00790498">
        <w:rPr>
          <w:rFonts w:ascii="Times New Roman" w:hAnsi="Times New Roman" w:cs="Times New Roman"/>
          <w:sz w:val="24"/>
          <w:szCs w:val="24"/>
        </w:rPr>
        <w:t xml:space="preserve">Para a avaliação da uniformidade da aplicação de água, medida pelo CUC e CUCCE, foi considerado o valor de 95% como o limiar inferior para indicar uma boa adequação dos sistemas, bem como as faixas de adequação de CUC indicadas pelas metodologias disponíveis </w:t>
      </w:r>
      <w:sdt>
        <w:sdtPr>
          <w:rPr>
            <w:rFonts w:ascii="Times New Roman" w:hAnsi="Times New Roman" w:cs="Times New Roman"/>
            <w:sz w:val="24"/>
            <w:szCs w:val="24"/>
          </w:rPr>
          <w:tag w:val="MENDELEY_CITATION_v3_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"/>
          <w:id w:val="-465514030"/>
          <w:placeholder>
            <w:docPart w:val="62F83DCD0AF64FC2919A10F72D3826D2"/>
          </w:placeholder>
        </w:sdtPr>
        <w:sdtEndPr/>
        <w:sdtContent>
          <w:r w:rsidRPr="00790498">
            <w:rPr>
              <w:rFonts w:ascii="Times New Roman" w:hAnsi="Times New Roman" w:cs="Times New Roman"/>
              <w:sz w:val="24"/>
              <w:szCs w:val="24"/>
            </w:rPr>
            <w:t>(BERNARDO et al., 2019; CHRISTIANSEN, 1942; HEERMANN; HEIN, 1968)</w:t>
          </w:r>
        </w:sdtContent>
      </w:sdt>
      <w:r w:rsidRPr="00790498">
        <w:rPr>
          <w:rFonts w:ascii="Times New Roman" w:hAnsi="Times New Roman" w:cs="Times New Roman"/>
          <w:sz w:val="24"/>
          <w:szCs w:val="24"/>
        </w:rPr>
        <w:t>.</w:t>
      </w:r>
    </w:p>
    <w:p w14:paraId="580CDE91" w14:textId="77777777" w:rsidR="009214DF" w:rsidRPr="00790498" w:rsidRDefault="009214DF" w:rsidP="00790498">
      <w:pPr>
        <w:spacing w:line="360" w:lineRule="auto"/>
        <w:ind w:firstLine="502"/>
        <w:jc w:val="both"/>
        <w:rPr>
          <w:rFonts w:ascii="Times New Roman" w:hAnsi="Times New Roman" w:cs="Times New Roman"/>
          <w:sz w:val="24"/>
          <w:szCs w:val="24"/>
        </w:rPr>
      </w:pPr>
      <w:r w:rsidRPr="00790498">
        <w:rPr>
          <w:rFonts w:ascii="Times New Roman" w:hAnsi="Times New Roman" w:cs="Times New Roman"/>
          <w:sz w:val="24"/>
          <w:szCs w:val="24"/>
        </w:rPr>
        <w:t>Nossa análise das pressões medidas em pontos críticos do sistema (Ponta, Torre e Motobomba) comparou os valores observados com as pressões recomendadas. Estabelecemos que pressões abaixo de 90% da recomendação indicavam inadequação, ajudando a identificar sistemas potencialmente em risco de falha operacional.</w:t>
      </w:r>
    </w:p>
    <w:p w14:paraId="00C33859" w14:textId="77777777" w:rsidR="009214DF" w:rsidRPr="00790498" w:rsidRDefault="009214DF" w:rsidP="00790498">
      <w:pPr>
        <w:spacing w:line="360" w:lineRule="auto"/>
        <w:ind w:firstLine="502"/>
        <w:jc w:val="both"/>
        <w:rPr>
          <w:rFonts w:ascii="Times New Roman" w:hAnsi="Times New Roman" w:cs="Times New Roman"/>
          <w:sz w:val="24"/>
          <w:szCs w:val="24"/>
        </w:rPr>
      </w:pPr>
      <w:r w:rsidRPr="00790498">
        <w:rPr>
          <w:rFonts w:ascii="Times New Roman" w:hAnsi="Times New Roman" w:cs="Times New Roman"/>
          <w:sz w:val="24"/>
          <w:szCs w:val="24"/>
        </w:rPr>
        <w:t>Além disso, a movimentação dos sistemas foi rigorosamente testada, e uma variação de até 5% em relação à velocidade esperada foi considerada aceitável. Este rigor nos permite identificar precisamente quais sistemas possuem problemas de movimentação que podem afetar a aplicação uniforme de água.</w:t>
      </w:r>
    </w:p>
    <w:p w14:paraId="5988E527" w14:textId="5C554F60" w:rsidR="00D95E6F" w:rsidRDefault="009214DF" w:rsidP="00790498">
      <w:pPr>
        <w:spacing w:line="360" w:lineRule="auto"/>
        <w:ind w:firstLine="502"/>
        <w:jc w:val="both"/>
        <w:rPr>
          <w:rFonts w:ascii="Times New Roman" w:hAnsi="Times New Roman" w:cs="Times New Roman"/>
          <w:sz w:val="24"/>
          <w:szCs w:val="24"/>
        </w:rPr>
      </w:pPr>
      <w:r w:rsidRPr="00790498">
        <w:rPr>
          <w:rFonts w:ascii="Times New Roman" w:hAnsi="Times New Roman" w:cs="Times New Roman"/>
          <w:sz w:val="24"/>
          <w:szCs w:val="24"/>
        </w:rPr>
        <w:t>Complementando estas análises, diagramas de coexistência de problemas foram utilizados para ilustrar visualmente como problemas de distribuição de água, pressurização e movimentação podem se sobrepor, destacando a complexidade do manejo e manutenção destes sistemas.</w:t>
      </w:r>
    </w:p>
    <w:p w14:paraId="6771A3E8" w14:textId="77777777" w:rsidR="00790498" w:rsidRDefault="00790498" w:rsidP="00790498">
      <w:pPr>
        <w:spacing w:line="360" w:lineRule="auto"/>
        <w:ind w:firstLine="502"/>
        <w:jc w:val="both"/>
        <w:rPr>
          <w:rFonts w:ascii="Times New Roman" w:hAnsi="Times New Roman" w:cs="Times New Roman"/>
          <w:sz w:val="24"/>
          <w:szCs w:val="24"/>
        </w:rPr>
      </w:pPr>
    </w:p>
    <w:p w14:paraId="4989BF1A" w14:textId="77777777" w:rsidR="00790498" w:rsidRDefault="00790498" w:rsidP="00790498">
      <w:pPr>
        <w:spacing w:line="360" w:lineRule="auto"/>
        <w:ind w:firstLine="502"/>
        <w:jc w:val="both"/>
        <w:rPr>
          <w:rFonts w:ascii="Times New Roman" w:hAnsi="Times New Roman" w:cs="Times New Roman"/>
          <w:sz w:val="24"/>
          <w:szCs w:val="24"/>
        </w:rPr>
      </w:pPr>
    </w:p>
    <w:p w14:paraId="5EC7C423" w14:textId="77777777" w:rsidR="00790498" w:rsidRDefault="00790498" w:rsidP="00790498">
      <w:pPr>
        <w:spacing w:line="360" w:lineRule="auto"/>
        <w:ind w:firstLine="502"/>
        <w:jc w:val="both"/>
        <w:rPr>
          <w:rFonts w:ascii="Times New Roman" w:hAnsi="Times New Roman" w:cs="Times New Roman"/>
          <w:sz w:val="24"/>
          <w:szCs w:val="24"/>
        </w:rPr>
      </w:pPr>
    </w:p>
    <w:p w14:paraId="42DD34BE" w14:textId="77777777" w:rsidR="00790498" w:rsidRDefault="00790498" w:rsidP="00790498">
      <w:pPr>
        <w:spacing w:line="360" w:lineRule="auto"/>
        <w:ind w:firstLine="502"/>
        <w:jc w:val="both"/>
        <w:rPr>
          <w:rFonts w:ascii="Times New Roman" w:hAnsi="Times New Roman" w:cs="Times New Roman"/>
          <w:sz w:val="24"/>
          <w:szCs w:val="24"/>
        </w:rPr>
      </w:pPr>
    </w:p>
    <w:p w14:paraId="33E4EB30" w14:textId="77777777" w:rsidR="00790498" w:rsidRDefault="00790498" w:rsidP="00790498">
      <w:pPr>
        <w:spacing w:line="360" w:lineRule="auto"/>
        <w:ind w:firstLine="502"/>
        <w:jc w:val="both"/>
        <w:rPr>
          <w:rFonts w:ascii="Times New Roman" w:hAnsi="Times New Roman" w:cs="Times New Roman"/>
          <w:sz w:val="24"/>
          <w:szCs w:val="24"/>
        </w:rPr>
      </w:pPr>
    </w:p>
    <w:p w14:paraId="42F904C9" w14:textId="560B8D67" w:rsidR="00C4654D" w:rsidRDefault="00C4654D" w:rsidP="00C4654D">
      <w:pPr>
        <w:pStyle w:val="PargrafodaLista"/>
        <w:numPr>
          <w:ilvl w:val="0"/>
          <w:numId w:val="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Resultados</w:t>
      </w:r>
      <w:r w:rsidR="00790498">
        <w:rPr>
          <w:rFonts w:ascii="Times New Roman" w:hAnsi="Times New Roman" w:cs="Times New Roman"/>
          <w:b/>
          <w:bCs/>
          <w:sz w:val="24"/>
          <w:szCs w:val="24"/>
        </w:rPr>
        <w:t xml:space="preserve"> e Discussão</w:t>
      </w:r>
    </w:p>
    <w:p w14:paraId="698BC0B1" w14:textId="77777777" w:rsidR="00622114" w:rsidRPr="00622114" w:rsidRDefault="00622114" w:rsidP="00622114">
      <w:pPr>
        <w:pStyle w:val="PargrafodaLista"/>
        <w:numPr>
          <w:ilvl w:val="0"/>
          <w:numId w:val="2"/>
        </w:numPr>
        <w:spacing w:line="360" w:lineRule="auto"/>
        <w:jc w:val="both"/>
        <w:rPr>
          <w:rFonts w:ascii="Times New Roman" w:hAnsi="Times New Roman" w:cs="Times New Roman"/>
          <w:b/>
          <w:bCs/>
          <w:vanish/>
          <w:sz w:val="24"/>
          <w:szCs w:val="24"/>
        </w:rPr>
      </w:pPr>
    </w:p>
    <w:p w14:paraId="1FAD2F1C" w14:textId="6F9CB2FF" w:rsidR="00622114" w:rsidRPr="00790498" w:rsidRDefault="00622114" w:rsidP="00622114">
      <w:pPr>
        <w:pStyle w:val="PargrafodaLista"/>
        <w:numPr>
          <w:ilvl w:val="1"/>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Características Gerais dos Equipamentos</w:t>
      </w:r>
    </w:p>
    <w:p w14:paraId="275F239E" w14:textId="77777777"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sz w:val="24"/>
          <w:szCs w:val="24"/>
        </w:rPr>
        <w:t>O ARM possui atualmente 351 equipamentos de irrigação por pivô central, 44.621 hectares irrigados e área média por pivô central de 127 ± 46 hectares. O ATP dispõe de 731 equipamentos de irrigação por pivô central, irrigando uma área total de 96.282 hectares. A área média irrigada por cada pivô é de 131,71 ± 50,47 hectares.</w:t>
      </w:r>
    </w:p>
    <w:p w14:paraId="07E62271" w14:textId="77777777"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sz w:val="24"/>
          <w:szCs w:val="24"/>
        </w:rPr>
        <w:t>No ARM, 43 equipamentos foram selecionados, abrangendo 5.652 hectares, o que representa 12,66% da área irrigada da região, enquanto no ATP, Para este estudo, foram selecionados 94 equipamentos, abrangendo 11.003 hectares, o que representa 11,42% da área total irrigada. Esta seleção foi intencional e direcionada por estudos anteriores, visando incluir uma variedade representativa de fabricantes, configurações operacionais e diferentes idades de equipamentos, garantindo que os resultados sejam robustos e amplamente aplicáveis.</w:t>
      </w:r>
    </w:p>
    <w:p w14:paraId="22C40BD0" w14:textId="77777777"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sz w:val="24"/>
          <w:szCs w:val="24"/>
        </w:rPr>
        <w:t>A lâmina de irrigação coletada nos testes de 43 pivôs centrais avaliados no ARM variou entre 1,59 e 13,94 mm, com média de 5,68 ± 2,14 mm. No ATP, as características operacionais dos sistemas foram minuciosamente registradas, incluindo a lâmina bruta de água que, na configuração de 100%, foi de 4,68 ± 1,38 mm. Durante um período operacional contínuo de 21 horas, que representa a aplicação máxima de água durante o dia, foi de 8,23 ± 2,80 mm. Esses dados são cruciais para entender a eficiência, o potencial de economia de água dos sistemas, e compreender as características intrínsecas ao manejo de irrigação nestas áreas.</w:t>
      </w:r>
    </w:p>
    <w:p w14:paraId="5605FE55" w14:textId="77777777"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sz w:val="24"/>
          <w:szCs w:val="24"/>
        </w:rPr>
        <w:t>A movimentação dos equipamentos (ARM e ATP), quando operada a velocidade de 100%, mostrou uma velocidade média de 4,77 ± 0,54 m/min. Esta velocidade indicou que a velocidade projetada para trabalho em de 21 horas (aplicando a lâmina máxima diária) variou significativamente, de 27,05% a 87,58%, o que indica que a eficiência de irrigação pode ser afetada pela conformidade do percentímetro dos equipamentos.</w:t>
      </w:r>
    </w:p>
    <w:p w14:paraId="3EFADF91" w14:textId="77777777"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sz w:val="24"/>
          <w:szCs w:val="24"/>
        </w:rPr>
        <w:t>A exclusão de 21 equipamentos com sistemas de movimentação contínua no ATP foi necessária para manter a integridade dos dados, uma vez que suas características operacionais únicas poderiam distorcer a avaliação da movimentação intermitente, fundamental para este estudo.</w:t>
      </w:r>
    </w:p>
    <w:p w14:paraId="395F8B9A" w14:textId="77777777"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sz w:val="24"/>
          <w:szCs w:val="24"/>
        </w:rPr>
        <w:br w:type="page"/>
      </w:r>
    </w:p>
    <w:p w14:paraId="2C6D1655" w14:textId="2A3A86EE" w:rsidR="00622114" w:rsidRPr="00790498" w:rsidRDefault="00622114" w:rsidP="00622114">
      <w:pPr>
        <w:pStyle w:val="PargrafodaLista"/>
        <w:numPr>
          <w:ilvl w:val="1"/>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Adequação da Uniformidade de Distribuição de Água</w:t>
      </w:r>
    </w:p>
    <w:p w14:paraId="167F32E7" w14:textId="77777777"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sz w:val="24"/>
          <w:szCs w:val="24"/>
        </w:rPr>
        <w:t>Os equipamentos de irrigação avaliados no ARM apresentaram valores de CUC entre 76,96 e 93,14%, com valor médio de 86,06%. Conforme as classificações propostas por Bernardo et al. (2019) e Keller e Bliesner (1990), 10 equipamentos foram classificados com uniformidade de aplicação “excelente” (CUC ≥ 90%), 30 equipamentos como “bom” (80% ≤ CUC &lt; 90%), e 3 equipamentos como “moderado” (70% ≤ CUC &lt; 80%). Estes resultados estão sumarizados na Figura 4, enquanto a Tabela 1 apresenta os valores de CUC para cada equipamento. Os principais pontos negativos observados nos equipamentos com menor CUC foram a inadequação da carta de emissores e entupimentos.</w:t>
      </w:r>
    </w:p>
    <w:p w14:paraId="28D080F1" w14:textId="77777777" w:rsidR="00790498" w:rsidRPr="00622114" w:rsidRDefault="00790498" w:rsidP="00622114">
      <w:pPr>
        <w:spacing w:line="360" w:lineRule="auto"/>
        <w:ind w:firstLine="502"/>
        <w:jc w:val="both"/>
        <w:rPr>
          <w:rFonts w:ascii="Times New Roman" w:hAnsi="Times New Roman" w:cs="Times New Roman"/>
          <w:sz w:val="24"/>
          <w:szCs w:val="24"/>
        </w:rPr>
      </w:pPr>
    </w:p>
    <w:p w14:paraId="61EF59CB" w14:textId="77777777"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noProof/>
          <w:sz w:val="24"/>
          <w:szCs w:val="24"/>
        </w:rPr>
        <w:drawing>
          <wp:inline distT="0" distB="0" distL="0" distR="0" wp14:anchorId="6D171B60" wp14:editId="2A822019">
            <wp:extent cx="5760720" cy="2880360"/>
            <wp:effectExtent l="0" t="0" r="0" b="0"/>
            <wp:docPr id="8" name="Imagem 8"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Gráfico&#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36549C16" w14:textId="1EA306E4" w:rsidR="00790498" w:rsidRPr="00622114" w:rsidRDefault="00790498" w:rsidP="00622114">
      <w:pPr>
        <w:spacing w:line="360" w:lineRule="auto"/>
        <w:ind w:firstLine="502"/>
        <w:jc w:val="both"/>
        <w:rPr>
          <w:rFonts w:ascii="Times New Roman" w:hAnsi="Times New Roman" w:cs="Times New Roman"/>
          <w:sz w:val="24"/>
          <w:szCs w:val="24"/>
        </w:rPr>
      </w:pPr>
      <w:bookmarkStart w:id="0" w:name="_Toc117497858"/>
      <w:r w:rsidRPr="00622114">
        <w:rPr>
          <w:rFonts w:ascii="Times New Roman" w:hAnsi="Times New Roman" w:cs="Times New Roman"/>
          <w:b/>
          <w:bCs/>
          <w:sz w:val="24"/>
          <w:szCs w:val="24"/>
        </w:rPr>
        <w:t xml:space="preserve">Figura </w:t>
      </w:r>
      <w:r w:rsidRPr="00622114">
        <w:rPr>
          <w:rFonts w:ascii="Times New Roman" w:hAnsi="Times New Roman" w:cs="Times New Roman"/>
          <w:b/>
          <w:bCs/>
          <w:sz w:val="24"/>
          <w:szCs w:val="24"/>
        </w:rPr>
        <w:fldChar w:fldCharType="begin"/>
      </w:r>
      <w:r w:rsidRPr="00622114">
        <w:rPr>
          <w:rFonts w:ascii="Times New Roman" w:hAnsi="Times New Roman" w:cs="Times New Roman"/>
          <w:b/>
          <w:bCs/>
          <w:sz w:val="24"/>
          <w:szCs w:val="24"/>
        </w:rPr>
        <w:instrText xml:space="preserve"> SEQ Figure \* ARABIC </w:instrText>
      </w:r>
      <w:r w:rsidRPr="00622114">
        <w:rPr>
          <w:rFonts w:ascii="Times New Roman" w:hAnsi="Times New Roman" w:cs="Times New Roman"/>
          <w:b/>
          <w:bCs/>
          <w:sz w:val="24"/>
          <w:szCs w:val="24"/>
        </w:rPr>
        <w:fldChar w:fldCharType="separate"/>
      </w:r>
      <w:r w:rsidR="009B2B78">
        <w:rPr>
          <w:rFonts w:ascii="Times New Roman" w:hAnsi="Times New Roman" w:cs="Times New Roman"/>
          <w:b/>
          <w:bCs/>
          <w:noProof/>
          <w:sz w:val="24"/>
          <w:szCs w:val="24"/>
        </w:rPr>
        <w:t>4</w:t>
      </w:r>
      <w:r w:rsidRPr="00622114">
        <w:rPr>
          <w:rFonts w:ascii="Times New Roman" w:hAnsi="Times New Roman" w:cs="Times New Roman"/>
          <w:b/>
          <w:bCs/>
          <w:sz w:val="24"/>
          <w:szCs w:val="24"/>
        </w:rPr>
        <w:fldChar w:fldCharType="end"/>
      </w:r>
      <w:r w:rsidRPr="00622114">
        <w:rPr>
          <w:rFonts w:ascii="Times New Roman" w:hAnsi="Times New Roman" w:cs="Times New Roman"/>
          <w:sz w:val="24"/>
          <w:szCs w:val="24"/>
        </w:rPr>
        <w:t xml:space="preserve"> – Distribuição da quantidade de pivôs em função da classificação do Coeficiente de Uniformidade de Christiansen (CUC, %) para o polo do ARM.</w:t>
      </w:r>
      <w:bookmarkEnd w:id="0"/>
      <w:r w:rsidRPr="00622114">
        <w:rPr>
          <w:rFonts w:ascii="Times New Roman" w:hAnsi="Times New Roman" w:cs="Times New Roman"/>
          <w:sz w:val="24"/>
          <w:szCs w:val="24"/>
        </w:rPr>
        <w:t xml:space="preserve"> As linhas verticais verdes delimitam as classes para classificação do CUC adaptadas de Bernardo et al. </w:t>
      </w:r>
      <w:r w:rsidRPr="00622114">
        <w:rPr>
          <w:rFonts w:ascii="Times New Roman" w:hAnsi="Times New Roman" w:cs="Times New Roman"/>
          <w:sz w:val="24"/>
          <w:szCs w:val="24"/>
        </w:rPr>
        <w:fldChar w:fldCharType="begin" w:fldLock="1"/>
      </w:r>
      <w:r w:rsidRPr="00622114">
        <w:rPr>
          <w:rFonts w:ascii="Times New Roman" w:hAnsi="Times New Roman" w:cs="Times New Roman"/>
          <w:sz w:val="24"/>
          <w:szCs w:val="24"/>
        </w:rPr>
        <w:instrText xml:space="preserve">  ZOTERO_ITEM CSL_CITATION {"citationID":"XAVoLTQZ","properties":{"formattedCitation":"(2019)","plainCitation":"(2019)","noteIndex":0},"citationItems":[{"id":"ovrc8uOA/n7ksfKzk","uris":["http://www.mendeley.com/documents/?uuid=b772d671-3dc5-3192-992a-3a9e96f304fe"],"itemData":{"ISBN":"9788572696104","author":[{"dropping-particle":"","family":"Bernardo","given":"Salassier","non-dropping-particle":"","parse-names":false,"suffix":""},{"dropping-particle":"","family":"Mantovani","given":"Everardo Chartuni","non-dropping-particle":"","parse-names":false,"suffix":""},{"dropping-particle":"","family":"Silva","given":"Demetrius David","non-dropping-particle":"da","parse-names":false,"suffix":""},{"dropping-particle":"","family":"Soares","given":"Antonio Alves","non-dropping-particle":"","parse-names":false,"suffix":""}],"edition":"9","editor":[{"dropping-particle":"","family":"Editora UFV","given":"","non-dropping-particle":"","parse-names":false,"suffix":""}],"id":"ITEM-1","issued":{"date-parts":[["2019"]]},"number-of-pages":"545","publisher":"UFV","publisher-place":"Viçosa MG","title":"Manual de Irrigação","type":"book"},"suppress-author":1}],"schema":"https://github.com/citation-style-language/schema/raw/master/csl-citation.json"} </w:instrText>
      </w:r>
      <w:r w:rsidRPr="00622114">
        <w:rPr>
          <w:rFonts w:ascii="Times New Roman" w:hAnsi="Times New Roman" w:cs="Times New Roman"/>
          <w:sz w:val="24"/>
          <w:szCs w:val="24"/>
        </w:rPr>
        <w:fldChar w:fldCharType="separate"/>
      </w:r>
      <w:r w:rsidRPr="00622114">
        <w:rPr>
          <w:rFonts w:ascii="Times New Roman" w:hAnsi="Times New Roman" w:cs="Times New Roman"/>
          <w:sz w:val="24"/>
          <w:szCs w:val="24"/>
        </w:rPr>
        <w:t>(2019)</w:t>
      </w:r>
      <w:r w:rsidRPr="00622114">
        <w:rPr>
          <w:rFonts w:ascii="Times New Roman" w:hAnsi="Times New Roman" w:cs="Times New Roman"/>
          <w:sz w:val="24"/>
          <w:szCs w:val="24"/>
        </w:rPr>
        <w:fldChar w:fldCharType="end"/>
      </w:r>
      <w:r w:rsidRPr="00622114">
        <w:rPr>
          <w:rFonts w:ascii="Times New Roman" w:hAnsi="Times New Roman" w:cs="Times New Roman"/>
          <w:sz w:val="24"/>
          <w:szCs w:val="24"/>
        </w:rPr>
        <w:t xml:space="preserve"> e Keller e Bliesner </w:t>
      </w:r>
      <w:r w:rsidRPr="00622114">
        <w:rPr>
          <w:rFonts w:ascii="Times New Roman" w:hAnsi="Times New Roman" w:cs="Times New Roman"/>
          <w:sz w:val="24"/>
          <w:szCs w:val="24"/>
        </w:rPr>
        <w:fldChar w:fldCharType="begin" w:fldLock="1"/>
      </w:r>
      <w:r w:rsidRPr="00622114">
        <w:rPr>
          <w:rFonts w:ascii="Times New Roman" w:hAnsi="Times New Roman" w:cs="Times New Roman"/>
          <w:sz w:val="24"/>
          <w:szCs w:val="24"/>
        </w:rPr>
        <w:instrText xml:space="preserve">  ZOTERO_ITEM CSL_CITATION {"citationID":"O43DETeA","properties":{"formattedCitation":"(1990)","plainCitation":"(1990)","noteIndex":0},"citationItems":[{"id":"ovrc8uOA/DeYq6N0q","uris":["http://www.mendeley.com/documents/?uuid=945dfd4a-8214-468a-96fe-26c7af249c14"],"itemData":{"author":[{"dropping-particle":"","family":"KELLER","given":"J.","non-dropping-particle":"","parse-names":false,"suffix":""},{"dropping-particle":"","family":"BLIESNER","given":"R. D","non-dropping-particle":"","parse-names":false,"suffix":""}],"id":"ITEM-1","issued":{"date-parts":[["1990"]]},"number-of-pages":"625","publisher-place":"New York","title":"Sprinkle and trickle irrigation","type":"book"},"suppress-author":1}],"schema":"https://github.com/citation-style-language/schema/raw/master/csl-citation.json"} </w:instrText>
      </w:r>
      <w:r w:rsidRPr="00622114">
        <w:rPr>
          <w:rFonts w:ascii="Times New Roman" w:hAnsi="Times New Roman" w:cs="Times New Roman"/>
          <w:sz w:val="24"/>
          <w:szCs w:val="24"/>
        </w:rPr>
        <w:fldChar w:fldCharType="separate"/>
      </w:r>
      <w:r w:rsidRPr="00622114">
        <w:rPr>
          <w:rFonts w:ascii="Times New Roman" w:hAnsi="Times New Roman" w:cs="Times New Roman"/>
          <w:sz w:val="24"/>
          <w:szCs w:val="24"/>
        </w:rPr>
        <w:t>(1990)</w:t>
      </w:r>
      <w:r w:rsidRPr="00622114">
        <w:rPr>
          <w:rFonts w:ascii="Times New Roman" w:hAnsi="Times New Roman" w:cs="Times New Roman"/>
          <w:sz w:val="24"/>
          <w:szCs w:val="24"/>
        </w:rPr>
        <w:fldChar w:fldCharType="end"/>
      </w:r>
      <w:r w:rsidRPr="00622114">
        <w:rPr>
          <w:rFonts w:ascii="Times New Roman" w:hAnsi="Times New Roman" w:cs="Times New Roman"/>
          <w:sz w:val="24"/>
          <w:szCs w:val="24"/>
        </w:rPr>
        <w:t>.</w:t>
      </w:r>
    </w:p>
    <w:p w14:paraId="66F4BB93" w14:textId="77777777"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sz w:val="24"/>
          <w:szCs w:val="24"/>
        </w:rPr>
        <w:br w:type="page"/>
      </w:r>
    </w:p>
    <w:p w14:paraId="55CCF076" w14:textId="3CA26CD8"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b/>
          <w:bCs/>
          <w:sz w:val="24"/>
          <w:szCs w:val="24"/>
        </w:rPr>
        <w:lastRenderedPageBreak/>
        <w:t xml:space="preserve">Tabela </w:t>
      </w:r>
      <w:r w:rsidRPr="00622114">
        <w:rPr>
          <w:rFonts w:ascii="Times New Roman" w:hAnsi="Times New Roman" w:cs="Times New Roman"/>
          <w:b/>
          <w:bCs/>
          <w:sz w:val="24"/>
          <w:szCs w:val="24"/>
        </w:rPr>
        <w:fldChar w:fldCharType="begin"/>
      </w:r>
      <w:r w:rsidRPr="00622114">
        <w:rPr>
          <w:rFonts w:ascii="Times New Roman" w:hAnsi="Times New Roman" w:cs="Times New Roman"/>
          <w:b/>
          <w:bCs/>
          <w:sz w:val="24"/>
          <w:szCs w:val="24"/>
        </w:rPr>
        <w:instrText xml:space="preserve"> SEQ Table \* ARABIC </w:instrText>
      </w:r>
      <w:r w:rsidRPr="00622114">
        <w:rPr>
          <w:rFonts w:ascii="Times New Roman" w:hAnsi="Times New Roman" w:cs="Times New Roman"/>
          <w:b/>
          <w:bCs/>
          <w:sz w:val="24"/>
          <w:szCs w:val="24"/>
        </w:rPr>
        <w:fldChar w:fldCharType="separate"/>
      </w:r>
      <w:r w:rsidR="009B2B78">
        <w:rPr>
          <w:rFonts w:ascii="Times New Roman" w:hAnsi="Times New Roman" w:cs="Times New Roman"/>
          <w:b/>
          <w:bCs/>
          <w:noProof/>
          <w:sz w:val="24"/>
          <w:szCs w:val="24"/>
        </w:rPr>
        <w:t>1</w:t>
      </w:r>
      <w:r w:rsidRPr="00622114">
        <w:rPr>
          <w:rFonts w:ascii="Times New Roman" w:hAnsi="Times New Roman" w:cs="Times New Roman"/>
          <w:b/>
          <w:bCs/>
          <w:sz w:val="24"/>
          <w:szCs w:val="24"/>
        </w:rPr>
        <w:fldChar w:fldCharType="end"/>
      </w:r>
      <w:r w:rsidRPr="00622114">
        <w:rPr>
          <w:rFonts w:ascii="Times New Roman" w:hAnsi="Times New Roman" w:cs="Times New Roman"/>
          <w:sz w:val="24"/>
          <w:szCs w:val="24"/>
        </w:rPr>
        <w:t xml:space="preserve"> – Coeficiente de Uniformidade de Christiansen (CUC, %) para cada equipamento do ARM.</w:t>
      </w:r>
    </w:p>
    <w:tbl>
      <w:tblPr>
        <w:tblW w:w="5000" w:type="pct"/>
        <w:jc w:val="center"/>
        <w:tblCellMar>
          <w:left w:w="70" w:type="dxa"/>
          <w:right w:w="70" w:type="dxa"/>
        </w:tblCellMar>
        <w:tblLook w:val="0660" w:firstRow="1" w:lastRow="1" w:firstColumn="0" w:lastColumn="0" w:noHBand="1" w:noVBand="1"/>
      </w:tblPr>
      <w:tblGrid>
        <w:gridCol w:w="2960"/>
        <w:gridCol w:w="637"/>
        <w:gridCol w:w="1188"/>
        <w:gridCol w:w="206"/>
        <w:gridCol w:w="2224"/>
        <w:gridCol w:w="625"/>
        <w:gridCol w:w="1186"/>
      </w:tblGrid>
      <w:tr w:rsidR="00622114" w:rsidRPr="00622114" w14:paraId="0726087D" w14:textId="77777777" w:rsidTr="00622114">
        <w:trPr>
          <w:trHeight w:val="300"/>
          <w:jc w:val="center"/>
        </w:trPr>
        <w:tc>
          <w:tcPr>
            <w:tcW w:w="1640" w:type="pct"/>
            <w:tcBorders>
              <w:top w:val="single" w:sz="4" w:space="0" w:color="auto"/>
              <w:left w:val="nil"/>
              <w:bottom w:val="single" w:sz="4" w:space="0" w:color="auto"/>
              <w:right w:val="nil"/>
            </w:tcBorders>
            <w:shd w:val="clear" w:color="auto" w:fill="auto"/>
            <w:noWrap/>
            <w:vAlign w:val="center"/>
            <w:hideMark/>
          </w:tcPr>
          <w:p w14:paraId="3231B496"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Fazenda</w:t>
            </w:r>
          </w:p>
        </w:tc>
        <w:tc>
          <w:tcPr>
            <w:tcW w:w="353" w:type="pct"/>
            <w:tcBorders>
              <w:top w:val="single" w:sz="4" w:space="0" w:color="auto"/>
              <w:left w:val="nil"/>
              <w:bottom w:val="single" w:sz="4" w:space="0" w:color="auto"/>
              <w:right w:val="nil"/>
            </w:tcBorders>
            <w:shd w:val="clear" w:color="auto" w:fill="auto"/>
            <w:noWrap/>
            <w:vAlign w:val="center"/>
            <w:hideMark/>
          </w:tcPr>
          <w:p w14:paraId="37E9B08A"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Pivô</w:t>
            </w:r>
          </w:p>
        </w:tc>
        <w:tc>
          <w:tcPr>
            <w:tcW w:w="658" w:type="pct"/>
            <w:tcBorders>
              <w:top w:val="single" w:sz="4" w:space="0" w:color="auto"/>
              <w:left w:val="nil"/>
              <w:bottom w:val="single" w:sz="4" w:space="0" w:color="auto"/>
              <w:right w:val="nil"/>
            </w:tcBorders>
            <w:shd w:val="clear" w:color="auto" w:fill="auto"/>
            <w:noWrap/>
            <w:vAlign w:val="center"/>
            <w:hideMark/>
          </w:tcPr>
          <w:p w14:paraId="1B267401"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CUC (%)</w:t>
            </w:r>
          </w:p>
        </w:tc>
        <w:tc>
          <w:tcPr>
            <w:tcW w:w="114" w:type="pct"/>
            <w:tcBorders>
              <w:top w:val="single" w:sz="4" w:space="0" w:color="auto"/>
              <w:left w:val="nil"/>
              <w:bottom w:val="single" w:sz="4" w:space="0" w:color="auto"/>
              <w:right w:val="nil"/>
            </w:tcBorders>
            <w:shd w:val="clear" w:color="auto" w:fill="auto"/>
            <w:noWrap/>
            <w:vAlign w:val="center"/>
            <w:hideMark/>
          </w:tcPr>
          <w:p w14:paraId="2D3D03FC" w14:textId="336F1D5D" w:rsidR="00790498" w:rsidRPr="00622114" w:rsidRDefault="00790498" w:rsidP="00622114">
            <w:pPr>
              <w:spacing w:after="0" w:line="360" w:lineRule="auto"/>
              <w:ind w:firstLine="502"/>
              <w:jc w:val="center"/>
              <w:rPr>
                <w:rFonts w:ascii="Times New Roman" w:hAnsi="Times New Roman" w:cs="Times New Roman"/>
                <w:sz w:val="24"/>
                <w:szCs w:val="24"/>
              </w:rPr>
            </w:pPr>
          </w:p>
        </w:tc>
        <w:tc>
          <w:tcPr>
            <w:tcW w:w="1232" w:type="pct"/>
            <w:tcBorders>
              <w:top w:val="single" w:sz="4" w:space="0" w:color="auto"/>
              <w:left w:val="nil"/>
              <w:bottom w:val="single" w:sz="4" w:space="0" w:color="auto"/>
              <w:right w:val="nil"/>
            </w:tcBorders>
            <w:shd w:val="clear" w:color="auto" w:fill="auto"/>
            <w:noWrap/>
            <w:vAlign w:val="center"/>
            <w:hideMark/>
          </w:tcPr>
          <w:p w14:paraId="18CEA82D"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Fazenda</w:t>
            </w:r>
          </w:p>
        </w:tc>
        <w:tc>
          <w:tcPr>
            <w:tcW w:w="346" w:type="pct"/>
            <w:tcBorders>
              <w:top w:val="single" w:sz="4" w:space="0" w:color="auto"/>
              <w:left w:val="nil"/>
              <w:bottom w:val="single" w:sz="4" w:space="0" w:color="auto"/>
              <w:right w:val="nil"/>
            </w:tcBorders>
            <w:shd w:val="clear" w:color="auto" w:fill="auto"/>
            <w:noWrap/>
            <w:vAlign w:val="center"/>
            <w:hideMark/>
          </w:tcPr>
          <w:p w14:paraId="4B1680B7"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Pivô</w:t>
            </w:r>
          </w:p>
        </w:tc>
        <w:tc>
          <w:tcPr>
            <w:tcW w:w="657" w:type="pct"/>
            <w:tcBorders>
              <w:top w:val="single" w:sz="4" w:space="0" w:color="auto"/>
              <w:left w:val="nil"/>
              <w:bottom w:val="single" w:sz="4" w:space="0" w:color="auto"/>
              <w:right w:val="nil"/>
            </w:tcBorders>
            <w:shd w:val="clear" w:color="auto" w:fill="auto"/>
            <w:noWrap/>
            <w:vAlign w:val="center"/>
            <w:hideMark/>
          </w:tcPr>
          <w:p w14:paraId="3954D96D"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CUC (%)</w:t>
            </w:r>
          </w:p>
        </w:tc>
      </w:tr>
      <w:tr w:rsidR="00622114" w:rsidRPr="00622114" w14:paraId="3F3A87F2" w14:textId="77777777" w:rsidTr="00622114">
        <w:trPr>
          <w:trHeight w:val="300"/>
          <w:jc w:val="center"/>
        </w:trPr>
        <w:tc>
          <w:tcPr>
            <w:tcW w:w="1640" w:type="pct"/>
            <w:vMerge w:val="restart"/>
            <w:tcBorders>
              <w:top w:val="nil"/>
              <w:left w:val="nil"/>
              <w:bottom w:val="single" w:sz="4" w:space="0" w:color="000000"/>
              <w:right w:val="nil"/>
            </w:tcBorders>
            <w:shd w:val="clear" w:color="auto" w:fill="auto"/>
            <w:noWrap/>
            <w:vAlign w:val="center"/>
            <w:hideMark/>
          </w:tcPr>
          <w:p w14:paraId="59204760"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AGN</w:t>
            </w:r>
          </w:p>
        </w:tc>
        <w:tc>
          <w:tcPr>
            <w:tcW w:w="353" w:type="pct"/>
            <w:tcBorders>
              <w:top w:val="nil"/>
              <w:left w:val="nil"/>
              <w:bottom w:val="nil"/>
              <w:right w:val="nil"/>
            </w:tcBorders>
            <w:shd w:val="clear" w:color="auto" w:fill="auto"/>
            <w:noWrap/>
            <w:vAlign w:val="center"/>
            <w:hideMark/>
          </w:tcPr>
          <w:p w14:paraId="465F0EE8"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P01</w:t>
            </w:r>
          </w:p>
        </w:tc>
        <w:tc>
          <w:tcPr>
            <w:tcW w:w="658" w:type="pct"/>
            <w:tcBorders>
              <w:top w:val="nil"/>
              <w:left w:val="nil"/>
              <w:bottom w:val="nil"/>
              <w:right w:val="nil"/>
            </w:tcBorders>
            <w:shd w:val="clear" w:color="auto" w:fill="auto"/>
            <w:noWrap/>
            <w:vAlign w:val="center"/>
            <w:hideMark/>
          </w:tcPr>
          <w:p w14:paraId="47CBBCBD"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87,19</w:t>
            </w:r>
          </w:p>
        </w:tc>
        <w:tc>
          <w:tcPr>
            <w:tcW w:w="114" w:type="pct"/>
            <w:tcBorders>
              <w:top w:val="nil"/>
              <w:left w:val="nil"/>
              <w:bottom w:val="nil"/>
              <w:right w:val="nil"/>
            </w:tcBorders>
            <w:shd w:val="clear" w:color="auto" w:fill="auto"/>
            <w:noWrap/>
            <w:vAlign w:val="center"/>
            <w:hideMark/>
          </w:tcPr>
          <w:p w14:paraId="6E146C0F" w14:textId="77777777" w:rsidR="00790498" w:rsidRPr="00622114" w:rsidRDefault="00790498" w:rsidP="00622114">
            <w:pPr>
              <w:spacing w:after="0" w:line="360" w:lineRule="auto"/>
              <w:ind w:firstLine="502"/>
              <w:jc w:val="center"/>
              <w:rPr>
                <w:rFonts w:ascii="Times New Roman" w:hAnsi="Times New Roman" w:cs="Times New Roman"/>
                <w:sz w:val="24"/>
                <w:szCs w:val="24"/>
              </w:rPr>
            </w:pPr>
          </w:p>
        </w:tc>
        <w:tc>
          <w:tcPr>
            <w:tcW w:w="1232" w:type="pct"/>
            <w:vMerge w:val="restart"/>
            <w:tcBorders>
              <w:top w:val="nil"/>
              <w:left w:val="nil"/>
              <w:bottom w:val="single" w:sz="4" w:space="0" w:color="000000"/>
              <w:right w:val="nil"/>
            </w:tcBorders>
            <w:shd w:val="clear" w:color="auto" w:fill="auto"/>
            <w:noWrap/>
            <w:vAlign w:val="center"/>
            <w:hideMark/>
          </w:tcPr>
          <w:p w14:paraId="20826DA4"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LOA</w:t>
            </w:r>
          </w:p>
        </w:tc>
        <w:tc>
          <w:tcPr>
            <w:tcW w:w="346" w:type="pct"/>
            <w:tcBorders>
              <w:top w:val="nil"/>
              <w:left w:val="nil"/>
              <w:bottom w:val="nil"/>
              <w:right w:val="nil"/>
            </w:tcBorders>
            <w:shd w:val="clear" w:color="auto" w:fill="auto"/>
            <w:noWrap/>
            <w:vAlign w:val="center"/>
            <w:hideMark/>
          </w:tcPr>
          <w:p w14:paraId="46B4FF86"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P01</w:t>
            </w:r>
          </w:p>
        </w:tc>
        <w:tc>
          <w:tcPr>
            <w:tcW w:w="657" w:type="pct"/>
            <w:tcBorders>
              <w:top w:val="nil"/>
              <w:left w:val="nil"/>
              <w:bottom w:val="nil"/>
              <w:right w:val="nil"/>
            </w:tcBorders>
            <w:shd w:val="clear" w:color="auto" w:fill="auto"/>
            <w:noWrap/>
            <w:vAlign w:val="center"/>
            <w:hideMark/>
          </w:tcPr>
          <w:p w14:paraId="28BB9471"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83,41</w:t>
            </w:r>
          </w:p>
        </w:tc>
      </w:tr>
      <w:tr w:rsidR="00622114" w:rsidRPr="00622114" w14:paraId="680E8128" w14:textId="77777777" w:rsidTr="00622114">
        <w:trPr>
          <w:trHeight w:val="300"/>
          <w:jc w:val="center"/>
        </w:trPr>
        <w:tc>
          <w:tcPr>
            <w:tcW w:w="1640" w:type="pct"/>
            <w:vMerge/>
            <w:tcBorders>
              <w:top w:val="nil"/>
              <w:left w:val="nil"/>
              <w:bottom w:val="single" w:sz="4" w:space="0" w:color="000000"/>
              <w:right w:val="nil"/>
            </w:tcBorders>
            <w:vAlign w:val="center"/>
            <w:hideMark/>
          </w:tcPr>
          <w:p w14:paraId="437E2109" w14:textId="77777777" w:rsidR="00790498" w:rsidRPr="00622114" w:rsidRDefault="00790498" w:rsidP="00622114">
            <w:pPr>
              <w:spacing w:after="0" w:line="360" w:lineRule="auto"/>
              <w:ind w:firstLine="502"/>
              <w:rPr>
                <w:rFonts w:ascii="Times New Roman" w:hAnsi="Times New Roman" w:cs="Times New Roman"/>
                <w:sz w:val="24"/>
                <w:szCs w:val="24"/>
              </w:rPr>
            </w:pPr>
          </w:p>
        </w:tc>
        <w:tc>
          <w:tcPr>
            <w:tcW w:w="353" w:type="pct"/>
            <w:tcBorders>
              <w:top w:val="nil"/>
              <w:left w:val="nil"/>
              <w:bottom w:val="single" w:sz="4" w:space="0" w:color="auto"/>
              <w:right w:val="nil"/>
            </w:tcBorders>
            <w:shd w:val="clear" w:color="auto" w:fill="auto"/>
            <w:noWrap/>
            <w:vAlign w:val="center"/>
            <w:hideMark/>
          </w:tcPr>
          <w:p w14:paraId="58C6331B"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P02</w:t>
            </w:r>
          </w:p>
        </w:tc>
        <w:tc>
          <w:tcPr>
            <w:tcW w:w="658" w:type="pct"/>
            <w:tcBorders>
              <w:top w:val="nil"/>
              <w:left w:val="nil"/>
              <w:bottom w:val="single" w:sz="4" w:space="0" w:color="auto"/>
              <w:right w:val="nil"/>
            </w:tcBorders>
            <w:shd w:val="clear" w:color="auto" w:fill="auto"/>
            <w:noWrap/>
            <w:vAlign w:val="center"/>
            <w:hideMark/>
          </w:tcPr>
          <w:p w14:paraId="46A36EAC"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78,64</w:t>
            </w:r>
          </w:p>
        </w:tc>
        <w:tc>
          <w:tcPr>
            <w:tcW w:w="114" w:type="pct"/>
            <w:tcBorders>
              <w:top w:val="nil"/>
              <w:left w:val="nil"/>
              <w:bottom w:val="nil"/>
              <w:right w:val="nil"/>
            </w:tcBorders>
            <w:shd w:val="clear" w:color="auto" w:fill="auto"/>
            <w:noWrap/>
            <w:vAlign w:val="center"/>
            <w:hideMark/>
          </w:tcPr>
          <w:p w14:paraId="06D98A7D" w14:textId="77777777" w:rsidR="00790498" w:rsidRPr="00622114" w:rsidRDefault="00790498" w:rsidP="00622114">
            <w:pPr>
              <w:spacing w:after="0" w:line="360" w:lineRule="auto"/>
              <w:ind w:firstLine="502"/>
              <w:jc w:val="center"/>
              <w:rPr>
                <w:rFonts w:ascii="Times New Roman" w:hAnsi="Times New Roman" w:cs="Times New Roman"/>
                <w:sz w:val="24"/>
                <w:szCs w:val="24"/>
              </w:rPr>
            </w:pPr>
          </w:p>
        </w:tc>
        <w:tc>
          <w:tcPr>
            <w:tcW w:w="1232" w:type="pct"/>
            <w:vMerge/>
            <w:tcBorders>
              <w:top w:val="nil"/>
              <w:left w:val="nil"/>
              <w:bottom w:val="single" w:sz="4" w:space="0" w:color="000000"/>
              <w:right w:val="nil"/>
            </w:tcBorders>
            <w:vAlign w:val="center"/>
            <w:hideMark/>
          </w:tcPr>
          <w:p w14:paraId="62A29442" w14:textId="77777777" w:rsidR="00790498" w:rsidRPr="00622114" w:rsidRDefault="00790498" w:rsidP="00622114">
            <w:pPr>
              <w:spacing w:after="0" w:line="360" w:lineRule="auto"/>
              <w:ind w:firstLine="502"/>
              <w:rPr>
                <w:rFonts w:ascii="Times New Roman" w:hAnsi="Times New Roman" w:cs="Times New Roman"/>
                <w:sz w:val="24"/>
                <w:szCs w:val="24"/>
              </w:rPr>
            </w:pPr>
          </w:p>
        </w:tc>
        <w:tc>
          <w:tcPr>
            <w:tcW w:w="346" w:type="pct"/>
            <w:tcBorders>
              <w:top w:val="nil"/>
              <w:left w:val="nil"/>
              <w:bottom w:val="nil"/>
              <w:right w:val="nil"/>
            </w:tcBorders>
            <w:shd w:val="clear" w:color="auto" w:fill="auto"/>
            <w:noWrap/>
            <w:vAlign w:val="center"/>
            <w:hideMark/>
          </w:tcPr>
          <w:p w14:paraId="121E8052"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P02</w:t>
            </w:r>
          </w:p>
        </w:tc>
        <w:tc>
          <w:tcPr>
            <w:tcW w:w="657" w:type="pct"/>
            <w:tcBorders>
              <w:top w:val="nil"/>
              <w:left w:val="nil"/>
              <w:bottom w:val="nil"/>
              <w:right w:val="nil"/>
            </w:tcBorders>
            <w:shd w:val="clear" w:color="auto" w:fill="auto"/>
            <w:noWrap/>
            <w:vAlign w:val="center"/>
            <w:hideMark/>
          </w:tcPr>
          <w:p w14:paraId="372D832F"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85,29</w:t>
            </w:r>
          </w:p>
        </w:tc>
      </w:tr>
      <w:tr w:rsidR="00622114" w:rsidRPr="00622114" w14:paraId="2B74F870" w14:textId="77777777" w:rsidTr="00622114">
        <w:trPr>
          <w:trHeight w:val="300"/>
          <w:jc w:val="center"/>
        </w:trPr>
        <w:tc>
          <w:tcPr>
            <w:tcW w:w="1640" w:type="pct"/>
            <w:vMerge w:val="restart"/>
            <w:tcBorders>
              <w:top w:val="nil"/>
              <w:left w:val="nil"/>
              <w:bottom w:val="single" w:sz="4" w:space="0" w:color="000000"/>
              <w:right w:val="nil"/>
            </w:tcBorders>
            <w:shd w:val="clear" w:color="auto" w:fill="auto"/>
            <w:noWrap/>
            <w:vAlign w:val="center"/>
            <w:hideMark/>
          </w:tcPr>
          <w:p w14:paraId="0F7DC8A1"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BRA</w:t>
            </w:r>
          </w:p>
        </w:tc>
        <w:tc>
          <w:tcPr>
            <w:tcW w:w="353" w:type="pct"/>
            <w:tcBorders>
              <w:top w:val="nil"/>
              <w:left w:val="nil"/>
              <w:bottom w:val="nil"/>
              <w:right w:val="nil"/>
            </w:tcBorders>
            <w:shd w:val="clear" w:color="auto" w:fill="auto"/>
            <w:noWrap/>
            <w:vAlign w:val="center"/>
            <w:hideMark/>
          </w:tcPr>
          <w:p w14:paraId="67868DF2"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P07</w:t>
            </w:r>
          </w:p>
        </w:tc>
        <w:tc>
          <w:tcPr>
            <w:tcW w:w="658" w:type="pct"/>
            <w:tcBorders>
              <w:top w:val="nil"/>
              <w:left w:val="nil"/>
              <w:bottom w:val="nil"/>
              <w:right w:val="nil"/>
            </w:tcBorders>
            <w:shd w:val="clear" w:color="auto" w:fill="auto"/>
            <w:noWrap/>
            <w:vAlign w:val="center"/>
            <w:hideMark/>
          </w:tcPr>
          <w:p w14:paraId="3000655E"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88,70</w:t>
            </w:r>
          </w:p>
        </w:tc>
        <w:tc>
          <w:tcPr>
            <w:tcW w:w="114" w:type="pct"/>
            <w:tcBorders>
              <w:top w:val="nil"/>
              <w:left w:val="nil"/>
              <w:bottom w:val="nil"/>
              <w:right w:val="nil"/>
            </w:tcBorders>
            <w:shd w:val="clear" w:color="auto" w:fill="auto"/>
            <w:noWrap/>
            <w:vAlign w:val="center"/>
            <w:hideMark/>
          </w:tcPr>
          <w:p w14:paraId="1A3D8292" w14:textId="77777777" w:rsidR="00790498" w:rsidRPr="00622114" w:rsidRDefault="00790498" w:rsidP="00622114">
            <w:pPr>
              <w:spacing w:after="0" w:line="360" w:lineRule="auto"/>
              <w:ind w:firstLine="502"/>
              <w:jc w:val="center"/>
              <w:rPr>
                <w:rFonts w:ascii="Times New Roman" w:hAnsi="Times New Roman" w:cs="Times New Roman"/>
                <w:sz w:val="24"/>
                <w:szCs w:val="24"/>
              </w:rPr>
            </w:pPr>
          </w:p>
        </w:tc>
        <w:tc>
          <w:tcPr>
            <w:tcW w:w="1232" w:type="pct"/>
            <w:vMerge/>
            <w:tcBorders>
              <w:top w:val="nil"/>
              <w:left w:val="nil"/>
              <w:bottom w:val="single" w:sz="4" w:space="0" w:color="000000"/>
              <w:right w:val="nil"/>
            </w:tcBorders>
            <w:vAlign w:val="center"/>
            <w:hideMark/>
          </w:tcPr>
          <w:p w14:paraId="44C6D017" w14:textId="77777777" w:rsidR="00790498" w:rsidRPr="00622114" w:rsidRDefault="00790498" w:rsidP="00622114">
            <w:pPr>
              <w:spacing w:after="0" w:line="360" w:lineRule="auto"/>
              <w:ind w:firstLine="502"/>
              <w:rPr>
                <w:rFonts w:ascii="Times New Roman" w:hAnsi="Times New Roman" w:cs="Times New Roman"/>
                <w:sz w:val="24"/>
                <w:szCs w:val="24"/>
              </w:rPr>
            </w:pPr>
          </w:p>
        </w:tc>
        <w:tc>
          <w:tcPr>
            <w:tcW w:w="346" w:type="pct"/>
            <w:tcBorders>
              <w:top w:val="nil"/>
              <w:left w:val="nil"/>
              <w:bottom w:val="nil"/>
              <w:right w:val="nil"/>
            </w:tcBorders>
            <w:shd w:val="clear" w:color="auto" w:fill="auto"/>
            <w:noWrap/>
            <w:vAlign w:val="center"/>
            <w:hideMark/>
          </w:tcPr>
          <w:p w14:paraId="1A29CCE9"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P03</w:t>
            </w:r>
          </w:p>
        </w:tc>
        <w:tc>
          <w:tcPr>
            <w:tcW w:w="657" w:type="pct"/>
            <w:tcBorders>
              <w:top w:val="nil"/>
              <w:left w:val="nil"/>
              <w:bottom w:val="nil"/>
              <w:right w:val="nil"/>
            </w:tcBorders>
            <w:shd w:val="clear" w:color="auto" w:fill="auto"/>
            <w:noWrap/>
            <w:vAlign w:val="center"/>
            <w:hideMark/>
          </w:tcPr>
          <w:p w14:paraId="50A6D638"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84,83</w:t>
            </w:r>
          </w:p>
        </w:tc>
      </w:tr>
      <w:tr w:rsidR="00622114" w:rsidRPr="00622114" w14:paraId="15E3744C" w14:textId="77777777" w:rsidTr="00622114">
        <w:trPr>
          <w:trHeight w:val="300"/>
          <w:jc w:val="center"/>
        </w:trPr>
        <w:tc>
          <w:tcPr>
            <w:tcW w:w="1640" w:type="pct"/>
            <w:vMerge/>
            <w:tcBorders>
              <w:top w:val="nil"/>
              <w:left w:val="nil"/>
              <w:bottom w:val="single" w:sz="4" w:space="0" w:color="000000"/>
              <w:right w:val="nil"/>
            </w:tcBorders>
            <w:vAlign w:val="center"/>
            <w:hideMark/>
          </w:tcPr>
          <w:p w14:paraId="416BAF36" w14:textId="77777777" w:rsidR="00790498" w:rsidRPr="00622114" w:rsidRDefault="00790498" w:rsidP="00622114">
            <w:pPr>
              <w:spacing w:after="0" w:line="360" w:lineRule="auto"/>
              <w:ind w:firstLine="502"/>
              <w:rPr>
                <w:rFonts w:ascii="Times New Roman" w:hAnsi="Times New Roman" w:cs="Times New Roman"/>
                <w:sz w:val="24"/>
                <w:szCs w:val="24"/>
              </w:rPr>
            </w:pPr>
          </w:p>
        </w:tc>
        <w:tc>
          <w:tcPr>
            <w:tcW w:w="353" w:type="pct"/>
            <w:tcBorders>
              <w:top w:val="nil"/>
              <w:left w:val="nil"/>
              <w:bottom w:val="nil"/>
              <w:right w:val="nil"/>
            </w:tcBorders>
            <w:shd w:val="clear" w:color="auto" w:fill="auto"/>
            <w:noWrap/>
            <w:vAlign w:val="center"/>
            <w:hideMark/>
          </w:tcPr>
          <w:p w14:paraId="5B2D923E"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P08</w:t>
            </w:r>
          </w:p>
        </w:tc>
        <w:tc>
          <w:tcPr>
            <w:tcW w:w="658" w:type="pct"/>
            <w:tcBorders>
              <w:top w:val="nil"/>
              <w:left w:val="nil"/>
              <w:bottom w:val="nil"/>
              <w:right w:val="nil"/>
            </w:tcBorders>
            <w:shd w:val="clear" w:color="auto" w:fill="auto"/>
            <w:noWrap/>
            <w:vAlign w:val="center"/>
            <w:hideMark/>
          </w:tcPr>
          <w:p w14:paraId="7E503660"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76,96</w:t>
            </w:r>
          </w:p>
        </w:tc>
        <w:tc>
          <w:tcPr>
            <w:tcW w:w="114" w:type="pct"/>
            <w:tcBorders>
              <w:top w:val="nil"/>
              <w:left w:val="nil"/>
              <w:bottom w:val="nil"/>
              <w:right w:val="nil"/>
            </w:tcBorders>
            <w:shd w:val="clear" w:color="auto" w:fill="auto"/>
            <w:noWrap/>
            <w:vAlign w:val="center"/>
            <w:hideMark/>
          </w:tcPr>
          <w:p w14:paraId="6643099E" w14:textId="77777777" w:rsidR="00790498" w:rsidRPr="00622114" w:rsidRDefault="00790498" w:rsidP="00622114">
            <w:pPr>
              <w:spacing w:after="0" w:line="360" w:lineRule="auto"/>
              <w:ind w:firstLine="502"/>
              <w:jc w:val="center"/>
              <w:rPr>
                <w:rFonts w:ascii="Times New Roman" w:hAnsi="Times New Roman" w:cs="Times New Roman"/>
                <w:sz w:val="24"/>
                <w:szCs w:val="24"/>
              </w:rPr>
            </w:pPr>
          </w:p>
        </w:tc>
        <w:tc>
          <w:tcPr>
            <w:tcW w:w="1232" w:type="pct"/>
            <w:vMerge/>
            <w:tcBorders>
              <w:top w:val="nil"/>
              <w:left w:val="nil"/>
              <w:bottom w:val="single" w:sz="4" w:space="0" w:color="000000"/>
              <w:right w:val="nil"/>
            </w:tcBorders>
            <w:vAlign w:val="center"/>
            <w:hideMark/>
          </w:tcPr>
          <w:p w14:paraId="34D4DF45" w14:textId="77777777" w:rsidR="00790498" w:rsidRPr="00622114" w:rsidRDefault="00790498" w:rsidP="00622114">
            <w:pPr>
              <w:spacing w:after="0" w:line="360" w:lineRule="auto"/>
              <w:ind w:firstLine="502"/>
              <w:rPr>
                <w:rFonts w:ascii="Times New Roman" w:hAnsi="Times New Roman" w:cs="Times New Roman"/>
                <w:sz w:val="24"/>
                <w:szCs w:val="24"/>
              </w:rPr>
            </w:pPr>
          </w:p>
        </w:tc>
        <w:tc>
          <w:tcPr>
            <w:tcW w:w="346" w:type="pct"/>
            <w:tcBorders>
              <w:top w:val="nil"/>
              <w:left w:val="nil"/>
              <w:bottom w:val="single" w:sz="4" w:space="0" w:color="auto"/>
              <w:right w:val="nil"/>
            </w:tcBorders>
            <w:shd w:val="clear" w:color="auto" w:fill="auto"/>
            <w:noWrap/>
            <w:vAlign w:val="center"/>
            <w:hideMark/>
          </w:tcPr>
          <w:p w14:paraId="658630FB"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P07</w:t>
            </w:r>
          </w:p>
        </w:tc>
        <w:tc>
          <w:tcPr>
            <w:tcW w:w="657" w:type="pct"/>
            <w:tcBorders>
              <w:top w:val="nil"/>
              <w:left w:val="nil"/>
              <w:bottom w:val="single" w:sz="4" w:space="0" w:color="auto"/>
              <w:right w:val="nil"/>
            </w:tcBorders>
            <w:shd w:val="clear" w:color="auto" w:fill="auto"/>
            <w:noWrap/>
            <w:vAlign w:val="center"/>
            <w:hideMark/>
          </w:tcPr>
          <w:p w14:paraId="681201FF"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89,74</w:t>
            </w:r>
          </w:p>
        </w:tc>
      </w:tr>
      <w:tr w:rsidR="00622114" w:rsidRPr="00622114" w14:paraId="14E13DD5" w14:textId="77777777" w:rsidTr="00622114">
        <w:trPr>
          <w:trHeight w:val="300"/>
          <w:jc w:val="center"/>
        </w:trPr>
        <w:tc>
          <w:tcPr>
            <w:tcW w:w="1640" w:type="pct"/>
            <w:vMerge/>
            <w:tcBorders>
              <w:top w:val="nil"/>
              <w:left w:val="nil"/>
              <w:bottom w:val="single" w:sz="4" w:space="0" w:color="000000"/>
              <w:right w:val="nil"/>
            </w:tcBorders>
            <w:vAlign w:val="center"/>
            <w:hideMark/>
          </w:tcPr>
          <w:p w14:paraId="51F14739" w14:textId="77777777" w:rsidR="00790498" w:rsidRPr="00622114" w:rsidRDefault="00790498" w:rsidP="00622114">
            <w:pPr>
              <w:spacing w:after="0" w:line="360" w:lineRule="auto"/>
              <w:ind w:firstLine="502"/>
              <w:rPr>
                <w:rFonts w:ascii="Times New Roman" w:hAnsi="Times New Roman" w:cs="Times New Roman"/>
                <w:sz w:val="24"/>
                <w:szCs w:val="24"/>
              </w:rPr>
            </w:pPr>
          </w:p>
        </w:tc>
        <w:tc>
          <w:tcPr>
            <w:tcW w:w="353" w:type="pct"/>
            <w:tcBorders>
              <w:top w:val="nil"/>
              <w:left w:val="nil"/>
              <w:bottom w:val="single" w:sz="4" w:space="0" w:color="auto"/>
              <w:right w:val="nil"/>
            </w:tcBorders>
            <w:shd w:val="clear" w:color="auto" w:fill="auto"/>
            <w:noWrap/>
            <w:vAlign w:val="center"/>
            <w:hideMark/>
          </w:tcPr>
          <w:p w14:paraId="304637B7"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P09</w:t>
            </w:r>
          </w:p>
        </w:tc>
        <w:tc>
          <w:tcPr>
            <w:tcW w:w="658" w:type="pct"/>
            <w:tcBorders>
              <w:top w:val="nil"/>
              <w:left w:val="nil"/>
              <w:bottom w:val="single" w:sz="4" w:space="0" w:color="auto"/>
              <w:right w:val="nil"/>
            </w:tcBorders>
            <w:shd w:val="clear" w:color="auto" w:fill="auto"/>
            <w:noWrap/>
            <w:vAlign w:val="center"/>
            <w:hideMark/>
          </w:tcPr>
          <w:p w14:paraId="10D43170"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80,04</w:t>
            </w:r>
          </w:p>
        </w:tc>
        <w:tc>
          <w:tcPr>
            <w:tcW w:w="114" w:type="pct"/>
            <w:tcBorders>
              <w:top w:val="nil"/>
              <w:left w:val="nil"/>
              <w:bottom w:val="nil"/>
              <w:right w:val="nil"/>
            </w:tcBorders>
            <w:shd w:val="clear" w:color="auto" w:fill="auto"/>
            <w:noWrap/>
            <w:vAlign w:val="center"/>
            <w:hideMark/>
          </w:tcPr>
          <w:p w14:paraId="377953E1" w14:textId="77777777" w:rsidR="00790498" w:rsidRPr="00622114" w:rsidRDefault="00790498" w:rsidP="00622114">
            <w:pPr>
              <w:spacing w:after="0" w:line="360" w:lineRule="auto"/>
              <w:ind w:firstLine="502"/>
              <w:jc w:val="center"/>
              <w:rPr>
                <w:rFonts w:ascii="Times New Roman" w:hAnsi="Times New Roman" w:cs="Times New Roman"/>
                <w:sz w:val="24"/>
                <w:szCs w:val="24"/>
              </w:rPr>
            </w:pPr>
          </w:p>
        </w:tc>
        <w:tc>
          <w:tcPr>
            <w:tcW w:w="1232" w:type="pct"/>
            <w:tcBorders>
              <w:top w:val="nil"/>
              <w:left w:val="nil"/>
              <w:bottom w:val="single" w:sz="4" w:space="0" w:color="auto"/>
              <w:right w:val="nil"/>
            </w:tcBorders>
            <w:shd w:val="clear" w:color="auto" w:fill="auto"/>
            <w:noWrap/>
            <w:vAlign w:val="center"/>
            <w:hideMark/>
          </w:tcPr>
          <w:p w14:paraId="4493AF70"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LUC</w:t>
            </w:r>
          </w:p>
        </w:tc>
        <w:tc>
          <w:tcPr>
            <w:tcW w:w="346" w:type="pct"/>
            <w:tcBorders>
              <w:top w:val="nil"/>
              <w:left w:val="nil"/>
              <w:bottom w:val="single" w:sz="4" w:space="0" w:color="auto"/>
              <w:right w:val="nil"/>
            </w:tcBorders>
            <w:shd w:val="clear" w:color="auto" w:fill="auto"/>
            <w:noWrap/>
            <w:vAlign w:val="center"/>
            <w:hideMark/>
          </w:tcPr>
          <w:p w14:paraId="70BE2736"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P05</w:t>
            </w:r>
          </w:p>
        </w:tc>
        <w:tc>
          <w:tcPr>
            <w:tcW w:w="657" w:type="pct"/>
            <w:tcBorders>
              <w:top w:val="nil"/>
              <w:left w:val="nil"/>
              <w:bottom w:val="single" w:sz="4" w:space="0" w:color="auto"/>
              <w:right w:val="nil"/>
            </w:tcBorders>
            <w:shd w:val="clear" w:color="auto" w:fill="auto"/>
            <w:noWrap/>
            <w:vAlign w:val="center"/>
            <w:hideMark/>
          </w:tcPr>
          <w:p w14:paraId="49F3466A"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82,41</w:t>
            </w:r>
          </w:p>
        </w:tc>
      </w:tr>
      <w:tr w:rsidR="00622114" w:rsidRPr="00622114" w14:paraId="49AEC1B4" w14:textId="77777777" w:rsidTr="00622114">
        <w:trPr>
          <w:trHeight w:val="300"/>
          <w:jc w:val="center"/>
        </w:trPr>
        <w:tc>
          <w:tcPr>
            <w:tcW w:w="1640" w:type="pct"/>
            <w:vMerge w:val="restart"/>
            <w:tcBorders>
              <w:top w:val="nil"/>
              <w:left w:val="nil"/>
              <w:bottom w:val="single" w:sz="4" w:space="0" w:color="000000"/>
              <w:right w:val="nil"/>
            </w:tcBorders>
            <w:shd w:val="clear" w:color="auto" w:fill="auto"/>
            <w:noWrap/>
            <w:vAlign w:val="center"/>
            <w:hideMark/>
          </w:tcPr>
          <w:p w14:paraId="200DC862"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CFE</w:t>
            </w:r>
          </w:p>
        </w:tc>
        <w:tc>
          <w:tcPr>
            <w:tcW w:w="353" w:type="pct"/>
            <w:tcBorders>
              <w:top w:val="nil"/>
              <w:left w:val="nil"/>
              <w:bottom w:val="nil"/>
              <w:right w:val="nil"/>
            </w:tcBorders>
            <w:shd w:val="clear" w:color="auto" w:fill="auto"/>
            <w:noWrap/>
            <w:vAlign w:val="center"/>
            <w:hideMark/>
          </w:tcPr>
          <w:p w14:paraId="4BCD0D53"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P01</w:t>
            </w:r>
          </w:p>
        </w:tc>
        <w:tc>
          <w:tcPr>
            <w:tcW w:w="658" w:type="pct"/>
            <w:tcBorders>
              <w:top w:val="nil"/>
              <w:left w:val="nil"/>
              <w:bottom w:val="nil"/>
              <w:right w:val="nil"/>
            </w:tcBorders>
            <w:shd w:val="clear" w:color="auto" w:fill="auto"/>
            <w:noWrap/>
            <w:vAlign w:val="center"/>
            <w:hideMark/>
          </w:tcPr>
          <w:p w14:paraId="14850C10"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81,06</w:t>
            </w:r>
          </w:p>
        </w:tc>
        <w:tc>
          <w:tcPr>
            <w:tcW w:w="114" w:type="pct"/>
            <w:tcBorders>
              <w:top w:val="nil"/>
              <w:left w:val="nil"/>
              <w:bottom w:val="nil"/>
              <w:right w:val="nil"/>
            </w:tcBorders>
            <w:shd w:val="clear" w:color="auto" w:fill="auto"/>
            <w:noWrap/>
            <w:vAlign w:val="center"/>
            <w:hideMark/>
          </w:tcPr>
          <w:p w14:paraId="4F2C6C4C" w14:textId="77777777" w:rsidR="00790498" w:rsidRPr="00622114" w:rsidRDefault="00790498" w:rsidP="00622114">
            <w:pPr>
              <w:spacing w:after="0" w:line="360" w:lineRule="auto"/>
              <w:ind w:firstLine="502"/>
              <w:jc w:val="center"/>
              <w:rPr>
                <w:rFonts w:ascii="Times New Roman" w:hAnsi="Times New Roman" w:cs="Times New Roman"/>
                <w:sz w:val="24"/>
                <w:szCs w:val="24"/>
              </w:rPr>
            </w:pPr>
          </w:p>
        </w:tc>
        <w:tc>
          <w:tcPr>
            <w:tcW w:w="1232" w:type="pct"/>
            <w:tcBorders>
              <w:top w:val="nil"/>
              <w:left w:val="nil"/>
              <w:bottom w:val="single" w:sz="4" w:space="0" w:color="auto"/>
              <w:right w:val="nil"/>
            </w:tcBorders>
            <w:shd w:val="clear" w:color="auto" w:fill="auto"/>
            <w:noWrap/>
            <w:vAlign w:val="center"/>
            <w:hideMark/>
          </w:tcPr>
          <w:p w14:paraId="76437912"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MA4</w:t>
            </w:r>
          </w:p>
        </w:tc>
        <w:tc>
          <w:tcPr>
            <w:tcW w:w="346" w:type="pct"/>
            <w:tcBorders>
              <w:top w:val="nil"/>
              <w:left w:val="nil"/>
              <w:bottom w:val="single" w:sz="4" w:space="0" w:color="auto"/>
              <w:right w:val="nil"/>
            </w:tcBorders>
            <w:shd w:val="clear" w:color="auto" w:fill="auto"/>
            <w:noWrap/>
            <w:vAlign w:val="center"/>
            <w:hideMark/>
          </w:tcPr>
          <w:p w14:paraId="1588A319"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P01</w:t>
            </w:r>
          </w:p>
        </w:tc>
        <w:tc>
          <w:tcPr>
            <w:tcW w:w="657" w:type="pct"/>
            <w:tcBorders>
              <w:top w:val="nil"/>
              <w:left w:val="nil"/>
              <w:bottom w:val="single" w:sz="4" w:space="0" w:color="auto"/>
              <w:right w:val="nil"/>
            </w:tcBorders>
            <w:shd w:val="clear" w:color="auto" w:fill="auto"/>
            <w:noWrap/>
            <w:vAlign w:val="center"/>
            <w:hideMark/>
          </w:tcPr>
          <w:p w14:paraId="35E5BDCA"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93,03</w:t>
            </w:r>
          </w:p>
        </w:tc>
      </w:tr>
      <w:tr w:rsidR="00622114" w:rsidRPr="00622114" w14:paraId="7925AFEF" w14:textId="77777777" w:rsidTr="00622114">
        <w:trPr>
          <w:trHeight w:val="300"/>
          <w:jc w:val="center"/>
        </w:trPr>
        <w:tc>
          <w:tcPr>
            <w:tcW w:w="1640" w:type="pct"/>
            <w:vMerge/>
            <w:tcBorders>
              <w:top w:val="nil"/>
              <w:left w:val="nil"/>
              <w:bottom w:val="single" w:sz="4" w:space="0" w:color="000000"/>
              <w:right w:val="nil"/>
            </w:tcBorders>
            <w:vAlign w:val="center"/>
            <w:hideMark/>
          </w:tcPr>
          <w:p w14:paraId="5049EFA1" w14:textId="77777777" w:rsidR="00790498" w:rsidRPr="00622114" w:rsidRDefault="00790498" w:rsidP="00622114">
            <w:pPr>
              <w:spacing w:after="0" w:line="360" w:lineRule="auto"/>
              <w:ind w:firstLine="502"/>
              <w:rPr>
                <w:rFonts w:ascii="Times New Roman" w:hAnsi="Times New Roman" w:cs="Times New Roman"/>
                <w:sz w:val="24"/>
                <w:szCs w:val="24"/>
              </w:rPr>
            </w:pPr>
          </w:p>
        </w:tc>
        <w:tc>
          <w:tcPr>
            <w:tcW w:w="353" w:type="pct"/>
            <w:tcBorders>
              <w:top w:val="nil"/>
              <w:left w:val="nil"/>
              <w:bottom w:val="nil"/>
              <w:right w:val="nil"/>
            </w:tcBorders>
            <w:shd w:val="clear" w:color="auto" w:fill="auto"/>
            <w:noWrap/>
            <w:vAlign w:val="center"/>
            <w:hideMark/>
          </w:tcPr>
          <w:p w14:paraId="3F7ADA24"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P02</w:t>
            </w:r>
          </w:p>
        </w:tc>
        <w:tc>
          <w:tcPr>
            <w:tcW w:w="658" w:type="pct"/>
            <w:tcBorders>
              <w:top w:val="nil"/>
              <w:left w:val="nil"/>
              <w:bottom w:val="nil"/>
              <w:right w:val="nil"/>
            </w:tcBorders>
            <w:shd w:val="clear" w:color="auto" w:fill="auto"/>
            <w:noWrap/>
            <w:vAlign w:val="center"/>
            <w:hideMark/>
          </w:tcPr>
          <w:p w14:paraId="670F6B12"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85,38</w:t>
            </w:r>
          </w:p>
        </w:tc>
        <w:tc>
          <w:tcPr>
            <w:tcW w:w="114" w:type="pct"/>
            <w:tcBorders>
              <w:top w:val="nil"/>
              <w:left w:val="nil"/>
              <w:bottom w:val="nil"/>
              <w:right w:val="nil"/>
            </w:tcBorders>
            <w:shd w:val="clear" w:color="auto" w:fill="auto"/>
            <w:noWrap/>
            <w:vAlign w:val="center"/>
            <w:hideMark/>
          </w:tcPr>
          <w:p w14:paraId="558B8321" w14:textId="77777777" w:rsidR="00790498" w:rsidRPr="00622114" w:rsidRDefault="00790498" w:rsidP="00622114">
            <w:pPr>
              <w:spacing w:after="0" w:line="360" w:lineRule="auto"/>
              <w:ind w:firstLine="502"/>
              <w:jc w:val="center"/>
              <w:rPr>
                <w:rFonts w:ascii="Times New Roman" w:hAnsi="Times New Roman" w:cs="Times New Roman"/>
                <w:sz w:val="24"/>
                <w:szCs w:val="24"/>
              </w:rPr>
            </w:pPr>
          </w:p>
        </w:tc>
        <w:tc>
          <w:tcPr>
            <w:tcW w:w="1232" w:type="pct"/>
            <w:vMerge w:val="restart"/>
            <w:tcBorders>
              <w:top w:val="nil"/>
              <w:left w:val="nil"/>
              <w:bottom w:val="single" w:sz="4" w:space="0" w:color="000000"/>
              <w:right w:val="nil"/>
            </w:tcBorders>
            <w:shd w:val="clear" w:color="auto" w:fill="auto"/>
            <w:noWrap/>
            <w:vAlign w:val="center"/>
            <w:hideMark/>
          </w:tcPr>
          <w:p w14:paraId="643270E9"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MAN</w:t>
            </w:r>
          </w:p>
        </w:tc>
        <w:tc>
          <w:tcPr>
            <w:tcW w:w="346" w:type="pct"/>
            <w:tcBorders>
              <w:top w:val="nil"/>
              <w:left w:val="nil"/>
              <w:bottom w:val="nil"/>
              <w:right w:val="nil"/>
            </w:tcBorders>
            <w:shd w:val="clear" w:color="auto" w:fill="auto"/>
            <w:noWrap/>
            <w:vAlign w:val="center"/>
            <w:hideMark/>
          </w:tcPr>
          <w:p w14:paraId="7E22985F"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P02</w:t>
            </w:r>
          </w:p>
        </w:tc>
        <w:tc>
          <w:tcPr>
            <w:tcW w:w="657" w:type="pct"/>
            <w:tcBorders>
              <w:top w:val="nil"/>
              <w:left w:val="nil"/>
              <w:bottom w:val="nil"/>
              <w:right w:val="nil"/>
            </w:tcBorders>
            <w:shd w:val="clear" w:color="auto" w:fill="auto"/>
            <w:noWrap/>
            <w:vAlign w:val="center"/>
            <w:hideMark/>
          </w:tcPr>
          <w:p w14:paraId="103C6CC6"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93,14</w:t>
            </w:r>
          </w:p>
        </w:tc>
      </w:tr>
      <w:tr w:rsidR="00622114" w:rsidRPr="00622114" w14:paraId="0C673570" w14:textId="77777777" w:rsidTr="00622114">
        <w:trPr>
          <w:trHeight w:val="300"/>
          <w:jc w:val="center"/>
        </w:trPr>
        <w:tc>
          <w:tcPr>
            <w:tcW w:w="1640" w:type="pct"/>
            <w:vMerge/>
            <w:tcBorders>
              <w:top w:val="nil"/>
              <w:left w:val="nil"/>
              <w:bottom w:val="single" w:sz="4" w:space="0" w:color="000000"/>
              <w:right w:val="nil"/>
            </w:tcBorders>
            <w:vAlign w:val="center"/>
            <w:hideMark/>
          </w:tcPr>
          <w:p w14:paraId="35DB5305" w14:textId="77777777" w:rsidR="00790498" w:rsidRPr="00622114" w:rsidRDefault="00790498" w:rsidP="00622114">
            <w:pPr>
              <w:spacing w:after="0" w:line="360" w:lineRule="auto"/>
              <w:ind w:firstLine="502"/>
              <w:rPr>
                <w:rFonts w:ascii="Times New Roman" w:hAnsi="Times New Roman" w:cs="Times New Roman"/>
                <w:sz w:val="24"/>
                <w:szCs w:val="24"/>
              </w:rPr>
            </w:pPr>
          </w:p>
        </w:tc>
        <w:tc>
          <w:tcPr>
            <w:tcW w:w="353" w:type="pct"/>
            <w:tcBorders>
              <w:top w:val="nil"/>
              <w:left w:val="nil"/>
              <w:bottom w:val="nil"/>
              <w:right w:val="nil"/>
            </w:tcBorders>
            <w:shd w:val="clear" w:color="auto" w:fill="auto"/>
            <w:noWrap/>
            <w:vAlign w:val="center"/>
            <w:hideMark/>
          </w:tcPr>
          <w:p w14:paraId="3A0CAF93"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P03</w:t>
            </w:r>
          </w:p>
        </w:tc>
        <w:tc>
          <w:tcPr>
            <w:tcW w:w="658" w:type="pct"/>
            <w:tcBorders>
              <w:top w:val="nil"/>
              <w:left w:val="nil"/>
              <w:right w:val="nil"/>
            </w:tcBorders>
            <w:shd w:val="clear" w:color="auto" w:fill="auto"/>
            <w:noWrap/>
            <w:vAlign w:val="center"/>
            <w:hideMark/>
          </w:tcPr>
          <w:p w14:paraId="13B85C31"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88,76</w:t>
            </w:r>
          </w:p>
        </w:tc>
        <w:tc>
          <w:tcPr>
            <w:tcW w:w="114" w:type="pct"/>
            <w:tcBorders>
              <w:top w:val="nil"/>
              <w:left w:val="nil"/>
              <w:bottom w:val="nil"/>
              <w:right w:val="nil"/>
            </w:tcBorders>
            <w:shd w:val="clear" w:color="auto" w:fill="auto"/>
            <w:noWrap/>
            <w:vAlign w:val="center"/>
            <w:hideMark/>
          </w:tcPr>
          <w:p w14:paraId="22B589B6" w14:textId="77777777" w:rsidR="00790498" w:rsidRPr="00622114" w:rsidRDefault="00790498" w:rsidP="00622114">
            <w:pPr>
              <w:spacing w:after="0" w:line="360" w:lineRule="auto"/>
              <w:ind w:firstLine="502"/>
              <w:jc w:val="center"/>
              <w:rPr>
                <w:rFonts w:ascii="Times New Roman" w:hAnsi="Times New Roman" w:cs="Times New Roman"/>
                <w:sz w:val="24"/>
                <w:szCs w:val="24"/>
              </w:rPr>
            </w:pPr>
          </w:p>
        </w:tc>
        <w:tc>
          <w:tcPr>
            <w:tcW w:w="1232" w:type="pct"/>
            <w:vMerge/>
            <w:tcBorders>
              <w:top w:val="nil"/>
              <w:left w:val="nil"/>
              <w:bottom w:val="single" w:sz="4" w:space="0" w:color="000000"/>
              <w:right w:val="nil"/>
            </w:tcBorders>
            <w:vAlign w:val="center"/>
            <w:hideMark/>
          </w:tcPr>
          <w:p w14:paraId="2970D0A7" w14:textId="77777777" w:rsidR="00790498" w:rsidRPr="00622114" w:rsidRDefault="00790498" w:rsidP="00622114">
            <w:pPr>
              <w:spacing w:after="0" w:line="360" w:lineRule="auto"/>
              <w:ind w:firstLine="502"/>
              <w:rPr>
                <w:rFonts w:ascii="Times New Roman" w:hAnsi="Times New Roman" w:cs="Times New Roman"/>
                <w:sz w:val="24"/>
                <w:szCs w:val="24"/>
              </w:rPr>
            </w:pPr>
          </w:p>
        </w:tc>
        <w:tc>
          <w:tcPr>
            <w:tcW w:w="346" w:type="pct"/>
            <w:tcBorders>
              <w:top w:val="nil"/>
              <w:left w:val="nil"/>
              <w:bottom w:val="nil"/>
              <w:right w:val="nil"/>
            </w:tcBorders>
            <w:shd w:val="clear" w:color="auto" w:fill="auto"/>
            <w:noWrap/>
            <w:vAlign w:val="center"/>
            <w:hideMark/>
          </w:tcPr>
          <w:p w14:paraId="68015FB9"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P03</w:t>
            </w:r>
          </w:p>
        </w:tc>
        <w:tc>
          <w:tcPr>
            <w:tcW w:w="657" w:type="pct"/>
            <w:tcBorders>
              <w:top w:val="nil"/>
              <w:left w:val="nil"/>
              <w:bottom w:val="nil"/>
              <w:right w:val="nil"/>
            </w:tcBorders>
            <w:shd w:val="clear" w:color="auto" w:fill="auto"/>
            <w:noWrap/>
            <w:vAlign w:val="center"/>
            <w:hideMark/>
          </w:tcPr>
          <w:p w14:paraId="17C219DF"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92,16</w:t>
            </w:r>
          </w:p>
        </w:tc>
      </w:tr>
      <w:tr w:rsidR="00622114" w:rsidRPr="00622114" w14:paraId="19AE37B1" w14:textId="77777777" w:rsidTr="00622114">
        <w:trPr>
          <w:trHeight w:val="300"/>
          <w:jc w:val="center"/>
        </w:trPr>
        <w:tc>
          <w:tcPr>
            <w:tcW w:w="1640" w:type="pct"/>
            <w:vMerge/>
            <w:tcBorders>
              <w:top w:val="nil"/>
              <w:left w:val="nil"/>
              <w:bottom w:val="single" w:sz="4" w:space="0" w:color="000000"/>
              <w:right w:val="nil"/>
            </w:tcBorders>
            <w:vAlign w:val="center"/>
            <w:hideMark/>
          </w:tcPr>
          <w:p w14:paraId="6E79D0B8" w14:textId="77777777" w:rsidR="00790498" w:rsidRPr="00622114" w:rsidRDefault="00790498" w:rsidP="00622114">
            <w:pPr>
              <w:spacing w:after="0" w:line="360" w:lineRule="auto"/>
              <w:ind w:firstLine="502"/>
              <w:rPr>
                <w:rFonts w:ascii="Times New Roman" w:hAnsi="Times New Roman" w:cs="Times New Roman"/>
                <w:sz w:val="24"/>
                <w:szCs w:val="24"/>
              </w:rPr>
            </w:pPr>
          </w:p>
        </w:tc>
        <w:tc>
          <w:tcPr>
            <w:tcW w:w="353" w:type="pct"/>
            <w:tcBorders>
              <w:top w:val="nil"/>
              <w:left w:val="nil"/>
              <w:bottom w:val="nil"/>
              <w:right w:val="nil"/>
            </w:tcBorders>
            <w:shd w:val="clear" w:color="auto" w:fill="auto"/>
            <w:noWrap/>
            <w:vAlign w:val="center"/>
            <w:hideMark/>
          </w:tcPr>
          <w:p w14:paraId="5249042D"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P04</w:t>
            </w:r>
          </w:p>
        </w:tc>
        <w:tc>
          <w:tcPr>
            <w:tcW w:w="658" w:type="pct"/>
            <w:tcBorders>
              <w:top w:val="nil"/>
              <w:left w:val="nil"/>
              <w:bottom w:val="single" w:sz="4" w:space="0" w:color="auto"/>
              <w:right w:val="nil"/>
            </w:tcBorders>
            <w:shd w:val="clear" w:color="auto" w:fill="auto"/>
            <w:noWrap/>
            <w:vAlign w:val="center"/>
            <w:hideMark/>
          </w:tcPr>
          <w:p w14:paraId="56320A63"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85,24</w:t>
            </w:r>
          </w:p>
        </w:tc>
        <w:tc>
          <w:tcPr>
            <w:tcW w:w="114" w:type="pct"/>
            <w:tcBorders>
              <w:top w:val="nil"/>
              <w:left w:val="nil"/>
              <w:bottom w:val="nil"/>
              <w:right w:val="nil"/>
            </w:tcBorders>
            <w:shd w:val="clear" w:color="auto" w:fill="auto"/>
            <w:noWrap/>
            <w:vAlign w:val="center"/>
            <w:hideMark/>
          </w:tcPr>
          <w:p w14:paraId="58C56236" w14:textId="77777777" w:rsidR="00790498" w:rsidRPr="00622114" w:rsidRDefault="00790498" w:rsidP="00622114">
            <w:pPr>
              <w:spacing w:after="0" w:line="360" w:lineRule="auto"/>
              <w:ind w:firstLine="502"/>
              <w:jc w:val="center"/>
              <w:rPr>
                <w:rFonts w:ascii="Times New Roman" w:hAnsi="Times New Roman" w:cs="Times New Roman"/>
                <w:sz w:val="24"/>
                <w:szCs w:val="24"/>
              </w:rPr>
            </w:pPr>
          </w:p>
        </w:tc>
        <w:tc>
          <w:tcPr>
            <w:tcW w:w="1232" w:type="pct"/>
            <w:vMerge/>
            <w:tcBorders>
              <w:top w:val="nil"/>
              <w:left w:val="nil"/>
              <w:bottom w:val="single" w:sz="4" w:space="0" w:color="000000"/>
              <w:right w:val="nil"/>
            </w:tcBorders>
            <w:vAlign w:val="center"/>
            <w:hideMark/>
          </w:tcPr>
          <w:p w14:paraId="2755A130" w14:textId="77777777" w:rsidR="00790498" w:rsidRPr="00622114" w:rsidRDefault="00790498" w:rsidP="00622114">
            <w:pPr>
              <w:spacing w:after="0" w:line="360" w:lineRule="auto"/>
              <w:ind w:firstLine="502"/>
              <w:rPr>
                <w:rFonts w:ascii="Times New Roman" w:hAnsi="Times New Roman" w:cs="Times New Roman"/>
                <w:sz w:val="24"/>
                <w:szCs w:val="24"/>
              </w:rPr>
            </w:pPr>
          </w:p>
        </w:tc>
        <w:tc>
          <w:tcPr>
            <w:tcW w:w="346" w:type="pct"/>
            <w:tcBorders>
              <w:top w:val="nil"/>
              <w:left w:val="nil"/>
              <w:bottom w:val="single" w:sz="4" w:space="0" w:color="auto"/>
              <w:right w:val="nil"/>
            </w:tcBorders>
            <w:shd w:val="clear" w:color="auto" w:fill="auto"/>
            <w:noWrap/>
            <w:vAlign w:val="center"/>
            <w:hideMark/>
          </w:tcPr>
          <w:p w14:paraId="1B1573AC"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P04</w:t>
            </w:r>
          </w:p>
        </w:tc>
        <w:tc>
          <w:tcPr>
            <w:tcW w:w="657" w:type="pct"/>
            <w:tcBorders>
              <w:top w:val="nil"/>
              <w:left w:val="nil"/>
              <w:bottom w:val="single" w:sz="4" w:space="0" w:color="auto"/>
              <w:right w:val="nil"/>
            </w:tcBorders>
            <w:shd w:val="clear" w:color="auto" w:fill="auto"/>
            <w:noWrap/>
            <w:vAlign w:val="center"/>
            <w:hideMark/>
          </w:tcPr>
          <w:p w14:paraId="21036108"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89,89</w:t>
            </w:r>
          </w:p>
        </w:tc>
      </w:tr>
      <w:tr w:rsidR="00622114" w:rsidRPr="00622114" w14:paraId="66196228" w14:textId="77777777" w:rsidTr="00622114">
        <w:trPr>
          <w:trHeight w:val="300"/>
          <w:jc w:val="center"/>
        </w:trPr>
        <w:tc>
          <w:tcPr>
            <w:tcW w:w="1640" w:type="pct"/>
            <w:vMerge/>
            <w:tcBorders>
              <w:top w:val="nil"/>
              <w:left w:val="nil"/>
              <w:bottom w:val="single" w:sz="4" w:space="0" w:color="000000"/>
              <w:right w:val="nil"/>
            </w:tcBorders>
            <w:vAlign w:val="center"/>
            <w:hideMark/>
          </w:tcPr>
          <w:p w14:paraId="4B9B353A" w14:textId="77777777" w:rsidR="00790498" w:rsidRPr="00622114" w:rsidRDefault="00790498" w:rsidP="00622114">
            <w:pPr>
              <w:spacing w:after="0" w:line="360" w:lineRule="auto"/>
              <w:ind w:firstLine="502"/>
              <w:rPr>
                <w:rFonts w:ascii="Times New Roman" w:hAnsi="Times New Roman" w:cs="Times New Roman"/>
                <w:sz w:val="24"/>
                <w:szCs w:val="24"/>
              </w:rPr>
            </w:pPr>
          </w:p>
        </w:tc>
        <w:tc>
          <w:tcPr>
            <w:tcW w:w="353" w:type="pct"/>
            <w:tcBorders>
              <w:top w:val="nil"/>
              <w:left w:val="nil"/>
              <w:bottom w:val="nil"/>
              <w:right w:val="nil"/>
            </w:tcBorders>
            <w:shd w:val="clear" w:color="auto" w:fill="auto"/>
            <w:noWrap/>
            <w:vAlign w:val="center"/>
            <w:hideMark/>
          </w:tcPr>
          <w:p w14:paraId="1C55C731"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P06</w:t>
            </w:r>
          </w:p>
        </w:tc>
        <w:tc>
          <w:tcPr>
            <w:tcW w:w="658" w:type="pct"/>
            <w:tcBorders>
              <w:top w:val="single" w:sz="4" w:space="0" w:color="auto"/>
              <w:left w:val="nil"/>
              <w:bottom w:val="nil"/>
              <w:right w:val="nil"/>
            </w:tcBorders>
            <w:shd w:val="clear" w:color="auto" w:fill="auto"/>
            <w:noWrap/>
            <w:vAlign w:val="center"/>
            <w:hideMark/>
          </w:tcPr>
          <w:p w14:paraId="21C76377"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83,25</w:t>
            </w:r>
          </w:p>
        </w:tc>
        <w:tc>
          <w:tcPr>
            <w:tcW w:w="114" w:type="pct"/>
            <w:tcBorders>
              <w:top w:val="nil"/>
              <w:left w:val="nil"/>
              <w:bottom w:val="nil"/>
              <w:right w:val="nil"/>
            </w:tcBorders>
            <w:shd w:val="clear" w:color="auto" w:fill="auto"/>
            <w:noWrap/>
            <w:vAlign w:val="center"/>
            <w:hideMark/>
          </w:tcPr>
          <w:p w14:paraId="793F9CB3" w14:textId="77777777" w:rsidR="00790498" w:rsidRPr="00622114" w:rsidRDefault="00790498" w:rsidP="00622114">
            <w:pPr>
              <w:spacing w:after="0" w:line="360" w:lineRule="auto"/>
              <w:ind w:firstLine="502"/>
              <w:jc w:val="center"/>
              <w:rPr>
                <w:rFonts w:ascii="Times New Roman" w:hAnsi="Times New Roman" w:cs="Times New Roman"/>
                <w:sz w:val="24"/>
                <w:szCs w:val="24"/>
              </w:rPr>
            </w:pPr>
          </w:p>
        </w:tc>
        <w:tc>
          <w:tcPr>
            <w:tcW w:w="1232" w:type="pct"/>
            <w:vMerge w:val="restart"/>
            <w:tcBorders>
              <w:top w:val="nil"/>
              <w:left w:val="nil"/>
              <w:bottom w:val="single" w:sz="4" w:space="0" w:color="000000"/>
              <w:right w:val="nil"/>
            </w:tcBorders>
            <w:shd w:val="clear" w:color="auto" w:fill="auto"/>
            <w:noWrap/>
            <w:vAlign w:val="center"/>
            <w:hideMark/>
          </w:tcPr>
          <w:p w14:paraId="186B8261"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PER</w:t>
            </w:r>
          </w:p>
        </w:tc>
        <w:tc>
          <w:tcPr>
            <w:tcW w:w="346" w:type="pct"/>
            <w:tcBorders>
              <w:top w:val="nil"/>
              <w:left w:val="nil"/>
              <w:bottom w:val="nil"/>
              <w:right w:val="nil"/>
            </w:tcBorders>
            <w:shd w:val="clear" w:color="auto" w:fill="auto"/>
            <w:noWrap/>
            <w:vAlign w:val="center"/>
            <w:hideMark/>
          </w:tcPr>
          <w:p w14:paraId="6F7586BF"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P04</w:t>
            </w:r>
          </w:p>
        </w:tc>
        <w:tc>
          <w:tcPr>
            <w:tcW w:w="657" w:type="pct"/>
            <w:tcBorders>
              <w:top w:val="nil"/>
              <w:left w:val="nil"/>
              <w:right w:val="nil"/>
            </w:tcBorders>
            <w:shd w:val="clear" w:color="auto" w:fill="auto"/>
            <w:noWrap/>
            <w:vAlign w:val="center"/>
            <w:hideMark/>
          </w:tcPr>
          <w:p w14:paraId="0ABF407B"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86,29</w:t>
            </w:r>
          </w:p>
        </w:tc>
      </w:tr>
      <w:tr w:rsidR="00622114" w:rsidRPr="00622114" w14:paraId="6E7B5B30" w14:textId="77777777" w:rsidTr="00622114">
        <w:trPr>
          <w:trHeight w:val="300"/>
          <w:jc w:val="center"/>
        </w:trPr>
        <w:tc>
          <w:tcPr>
            <w:tcW w:w="1640" w:type="pct"/>
            <w:vMerge/>
            <w:tcBorders>
              <w:top w:val="nil"/>
              <w:left w:val="nil"/>
              <w:bottom w:val="single" w:sz="4" w:space="0" w:color="000000"/>
              <w:right w:val="nil"/>
            </w:tcBorders>
            <w:vAlign w:val="center"/>
            <w:hideMark/>
          </w:tcPr>
          <w:p w14:paraId="76D79090" w14:textId="77777777" w:rsidR="00790498" w:rsidRPr="00622114" w:rsidRDefault="00790498" w:rsidP="00622114">
            <w:pPr>
              <w:spacing w:after="0" w:line="360" w:lineRule="auto"/>
              <w:ind w:firstLine="502"/>
              <w:rPr>
                <w:rFonts w:ascii="Times New Roman" w:hAnsi="Times New Roman" w:cs="Times New Roman"/>
                <w:sz w:val="24"/>
                <w:szCs w:val="24"/>
              </w:rPr>
            </w:pPr>
          </w:p>
        </w:tc>
        <w:tc>
          <w:tcPr>
            <w:tcW w:w="353" w:type="pct"/>
            <w:tcBorders>
              <w:top w:val="nil"/>
              <w:left w:val="nil"/>
              <w:bottom w:val="nil"/>
              <w:right w:val="nil"/>
            </w:tcBorders>
            <w:shd w:val="clear" w:color="auto" w:fill="auto"/>
            <w:noWrap/>
            <w:vAlign w:val="center"/>
            <w:hideMark/>
          </w:tcPr>
          <w:p w14:paraId="46D1E411"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P07</w:t>
            </w:r>
          </w:p>
        </w:tc>
        <w:tc>
          <w:tcPr>
            <w:tcW w:w="658" w:type="pct"/>
            <w:tcBorders>
              <w:top w:val="nil"/>
              <w:left w:val="nil"/>
              <w:bottom w:val="nil"/>
              <w:right w:val="nil"/>
            </w:tcBorders>
            <w:shd w:val="clear" w:color="auto" w:fill="auto"/>
            <w:noWrap/>
            <w:vAlign w:val="center"/>
            <w:hideMark/>
          </w:tcPr>
          <w:p w14:paraId="7D272E79"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89,21</w:t>
            </w:r>
          </w:p>
        </w:tc>
        <w:tc>
          <w:tcPr>
            <w:tcW w:w="114" w:type="pct"/>
            <w:tcBorders>
              <w:top w:val="nil"/>
              <w:left w:val="nil"/>
              <w:bottom w:val="nil"/>
              <w:right w:val="nil"/>
            </w:tcBorders>
            <w:shd w:val="clear" w:color="auto" w:fill="auto"/>
            <w:noWrap/>
            <w:vAlign w:val="center"/>
            <w:hideMark/>
          </w:tcPr>
          <w:p w14:paraId="632ED10A" w14:textId="77777777" w:rsidR="00790498" w:rsidRPr="00622114" w:rsidRDefault="00790498" w:rsidP="00622114">
            <w:pPr>
              <w:spacing w:after="0" w:line="360" w:lineRule="auto"/>
              <w:ind w:firstLine="502"/>
              <w:jc w:val="center"/>
              <w:rPr>
                <w:rFonts w:ascii="Times New Roman" w:hAnsi="Times New Roman" w:cs="Times New Roman"/>
                <w:sz w:val="24"/>
                <w:szCs w:val="24"/>
              </w:rPr>
            </w:pPr>
          </w:p>
        </w:tc>
        <w:tc>
          <w:tcPr>
            <w:tcW w:w="1232" w:type="pct"/>
            <w:vMerge/>
            <w:tcBorders>
              <w:top w:val="nil"/>
              <w:left w:val="nil"/>
              <w:bottom w:val="single" w:sz="4" w:space="0" w:color="000000"/>
              <w:right w:val="nil"/>
            </w:tcBorders>
            <w:vAlign w:val="center"/>
            <w:hideMark/>
          </w:tcPr>
          <w:p w14:paraId="16165ADB" w14:textId="77777777" w:rsidR="00790498" w:rsidRPr="00622114" w:rsidRDefault="00790498" w:rsidP="00622114">
            <w:pPr>
              <w:spacing w:after="0" w:line="360" w:lineRule="auto"/>
              <w:ind w:firstLine="502"/>
              <w:rPr>
                <w:rFonts w:ascii="Times New Roman" w:hAnsi="Times New Roman" w:cs="Times New Roman"/>
                <w:sz w:val="24"/>
                <w:szCs w:val="24"/>
              </w:rPr>
            </w:pPr>
          </w:p>
        </w:tc>
        <w:tc>
          <w:tcPr>
            <w:tcW w:w="346" w:type="pct"/>
            <w:tcBorders>
              <w:top w:val="nil"/>
              <w:left w:val="nil"/>
              <w:bottom w:val="nil"/>
              <w:right w:val="nil"/>
            </w:tcBorders>
            <w:shd w:val="clear" w:color="auto" w:fill="auto"/>
            <w:noWrap/>
            <w:vAlign w:val="center"/>
            <w:hideMark/>
          </w:tcPr>
          <w:p w14:paraId="72A83E73"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P05</w:t>
            </w:r>
          </w:p>
        </w:tc>
        <w:tc>
          <w:tcPr>
            <w:tcW w:w="657" w:type="pct"/>
            <w:tcBorders>
              <w:top w:val="nil"/>
              <w:left w:val="nil"/>
              <w:bottom w:val="nil"/>
              <w:right w:val="nil"/>
            </w:tcBorders>
            <w:shd w:val="clear" w:color="auto" w:fill="auto"/>
            <w:noWrap/>
            <w:vAlign w:val="center"/>
            <w:hideMark/>
          </w:tcPr>
          <w:p w14:paraId="3B70B924"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81,85</w:t>
            </w:r>
          </w:p>
        </w:tc>
      </w:tr>
      <w:tr w:rsidR="00622114" w:rsidRPr="00622114" w14:paraId="6D7299CD" w14:textId="77777777" w:rsidTr="00622114">
        <w:trPr>
          <w:trHeight w:val="300"/>
          <w:jc w:val="center"/>
        </w:trPr>
        <w:tc>
          <w:tcPr>
            <w:tcW w:w="1640" w:type="pct"/>
            <w:vMerge/>
            <w:tcBorders>
              <w:top w:val="nil"/>
              <w:left w:val="nil"/>
              <w:bottom w:val="single" w:sz="4" w:space="0" w:color="000000"/>
              <w:right w:val="nil"/>
            </w:tcBorders>
            <w:vAlign w:val="center"/>
            <w:hideMark/>
          </w:tcPr>
          <w:p w14:paraId="0D663AB9" w14:textId="77777777" w:rsidR="00790498" w:rsidRPr="00622114" w:rsidRDefault="00790498" w:rsidP="00622114">
            <w:pPr>
              <w:spacing w:after="0" w:line="360" w:lineRule="auto"/>
              <w:ind w:firstLine="502"/>
              <w:rPr>
                <w:rFonts w:ascii="Times New Roman" w:hAnsi="Times New Roman" w:cs="Times New Roman"/>
                <w:sz w:val="24"/>
                <w:szCs w:val="24"/>
              </w:rPr>
            </w:pPr>
          </w:p>
        </w:tc>
        <w:tc>
          <w:tcPr>
            <w:tcW w:w="353" w:type="pct"/>
            <w:tcBorders>
              <w:top w:val="nil"/>
              <w:left w:val="nil"/>
              <w:bottom w:val="single" w:sz="4" w:space="0" w:color="auto"/>
              <w:right w:val="nil"/>
            </w:tcBorders>
            <w:shd w:val="clear" w:color="auto" w:fill="auto"/>
            <w:noWrap/>
            <w:vAlign w:val="center"/>
            <w:hideMark/>
          </w:tcPr>
          <w:p w14:paraId="25E78F78"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P08</w:t>
            </w:r>
          </w:p>
        </w:tc>
        <w:tc>
          <w:tcPr>
            <w:tcW w:w="658" w:type="pct"/>
            <w:tcBorders>
              <w:top w:val="nil"/>
              <w:left w:val="nil"/>
              <w:bottom w:val="single" w:sz="4" w:space="0" w:color="auto"/>
              <w:right w:val="nil"/>
            </w:tcBorders>
            <w:shd w:val="clear" w:color="auto" w:fill="auto"/>
            <w:noWrap/>
            <w:vAlign w:val="center"/>
            <w:hideMark/>
          </w:tcPr>
          <w:p w14:paraId="3F77B447"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81,92</w:t>
            </w:r>
          </w:p>
        </w:tc>
        <w:tc>
          <w:tcPr>
            <w:tcW w:w="114" w:type="pct"/>
            <w:tcBorders>
              <w:top w:val="nil"/>
              <w:left w:val="nil"/>
              <w:bottom w:val="nil"/>
              <w:right w:val="nil"/>
            </w:tcBorders>
            <w:shd w:val="clear" w:color="auto" w:fill="auto"/>
            <w:noWrap/>
            <w:vAlign w:val="center"/>
            <w:hideMark/>
          </w:tcPr>
          <w:p w14:paraId="6E4BDEC8" w14:textId="77777777" w:rsidR="00790498" w:rsidRPr="00622114" w:rsidRDefault="00790498" w:rsidP="00622114">
            <w:pPr>
              <w:spacing w:after="0" w:line="360" w:lineRule="auto"/>
              <w:ind w:firstLine="502"/>
              <w:jc w:val="center"/>
              <w:rPr>
                <w:rFonts w:ascii="Times New Roman" w:hAnsi="Times New Roman" w:cs="Times New Roman"/>
                <w:sz w:val="24"/>
                <w:szCs w:val="24"/>
              </w:rPr>
            </w:pPr>
          </w:p>
        </w:tc>
        <w:tc>
          <w:tcPr>
            <w:tcW w:w="1232" w:type="pct"/>
            <w:vMerge/>
            <w:tcBorders>
              <w:top w:val="nil"/>
              <w:left w:val="nil"/>
              <w:bottom w:val="single" w:sz="4" w:space="0" w:color="auto"/>
              <w:right w:val="nil"/>
            </w:tcBorders>
            <w:vAlign w:val="center"/>
            <w:hideMark/>
          </w:tcPr>
          <w:p w14:paraId="6FAE9A6F" w14:textId="77777777" w:rsidR="00790498" w:rsidRPr="00622114" w:rsidRDefault="00790498" w:rsidP="00622114">
            <w:pPr>
              <w:spacing w:after="0" w:line="360" w:lineRule="auto"/>
              <w:ind w:firstLine="502"/>
              <w:rPr>
                <w:rFonts w:ascii="Times New Roman" w:hAnsi="Times New Roman" w:cs="Times New Roman"/>
                <w:sz w:val="24"/>
                <w:szCs w:val="24"/>
              </w:rPr>
            </w:pPr>
          </w:p>
        </w:tc>
        <w:tc>
          <w:tcPr>
            <w:tcW w:w="346" w:type="pct"/>
            <w:tcBorders>
              <w:top w:val="nil"/>
              <w:left w:val="nil"/>
              <w:bottom w:val="single" w:sz="4" w:space="0" w:color="auto"/>
              <w:right w:val="nil"/>
            </w:tcBorders>
            <w:shd w:val="clear" w:color="auto" w:fill="auto"/>
            <w:noWrap/>
            <w:vAlign w:val="center"/>
            <w:hideMark/>
          </w:tcPr>
          <w:p w14:paraId="1867973A"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P06</w:t>
            </w:r>
          </w:p>
        </w:tc>
        <w:tc>
          <w:tcPr>
            <w:tcW w:w="657" w:type="pct"/>
            <w:tcBorders>
              <w:top w:val="nil"/>
              <w:left w:val="nil"/>
              <w:bottom w:val="single" w:sz="4" w:space="0" w:color="auto"/>
              <w:right w:val="nil"/>
            </w:tcBorders>
            <w:shd w:val="clear" w:color="auto" w:fill="auto"/>
            <w:noWrap/>
            <w:vAlign w:val="center"/>
            <w:hideMark/>
          </w:tcPr>
          <w:p w14:paraId="59214C22" w14:textId="561B6FBF"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86,6</w:t>
            </w:r>
            <w:r w:rsidR="00622114">
              <w:rPr>
                <w:rFonts w:ascii="Times New Roman" w:hAnsi="Times New Roman" w:cs="Times New Roman"/>
                <w:sz w:val="24"/>
                <w:szCs w:val="24"/>
              </w:rPr>
              <w:t>0</w:t>
            </w:r>
          </w:p>
        </w:tc>
      </w:tr>
      <w:tr w:rsidR="00622114" w:rsidRPr="00622114" w14:paraId="75FF2626" w14:textId="77777777" w:rsidTr="00622114">
        <w:trPr>
          <w:trHeight w:val="300"/>
          <w:jc w:val="center"/>
        </w:trPr>
        <w:tc>
          <w:tcPr>
            <w:tcW w:w="1640" w:type="pct"/>
            <w:vMerge w:val="restart"/>
            <w:tcBorders>
              <w:top w:val="nil"/>
              <w:left w:val="nil"/>
              <w:bottom w:val="single" w:sz="4" w:space="0" w:color="000000"/>
              <w:right w:val="nil"/>
            </w:tcBorders>
            <w:shd w:val="clear" w:color="auto" w:fill="auto"/>
            <w:noWrap/>
            <w:vAlign w:val="center"/>
            <w:hideMark/>
          </w:tcPr>
          <w:p w14:paraId="60834B6D"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CRZ</w:t>
            </w:r>
          </w:p>
        </w:tc>
        <w:tc>
          <w:tcPr>
            <w:tcW w:w="353" w:type="pct"/>
            <w:tcBorders>
              <w:top w:val="nil"/>
              <w:left w:val="nil"/>
              <w:bottom w:val="nil"/>
              <w:right w:val="nil"/>
            </w:tcBorders>
            <w:shd w:val="clear" w:color="auto" w:fill="auto"/>
            <w:noWrap/>
            <w:vAlign w:val="center"/>
            <w:hideMark/>
          </w:tcPr>
          <w:p w14:paraId="27F17B7A"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P01</w:t>
            </w:r>
          </w:p>
        </w:tc>
        <w:tc>
          <w:tcPr>
            <w:tcW w:w="658" w:type="pct"/>
            <w:tcBorders>
              <w:top w:val="nil"/>
              <w:left w:val="nil"/>
              <w:bottom w:val="nil"/>
              <w:right w:val="nil"/>
            </w:tcBorders>
            <w:shd w:val="clear" w:color="auto" w:fill="auto"/>
            <w:noWrap/>
            <w:vAlign w:val="center"/>
            <w:hideMark/>
          </w:tcPr>
          <w:p w14:paraId="761AB9DB"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87,01</w:t>
            </w:r>
          </w:p>
        </w:tc>
        <w:tc>
          <w:tcPr>
            <w:tcW w:w="114" w:type="pct"/>
            <w:tcBorders>
              <w:top w:val="nil"/>
              <w:left w:val="nil"/>
              <w:bottom w:val="nil"/>
              <w:right w:val="nil"/>
            </w:tcBorders>
            <w:shd w:val="clear" w:color="auto" w:fill="auto"/>
            <w:noWrap/>
            <w:vAlign w:val="center"/>
            <w:hideMark/>
          </w:tcPr>
          <w:p w14:paraId="7A58EBC9" w14:textId="77777777" w:rsidR="00790498" w:rsidRPr="00622114" w:rsidRDefault="00790498" w:rsidP="00622114">
            <w:pPr>
              <w:spacing w:after="0" w:line="360" w:lineRule="auto"/>
              <w:ind w:firstLine="502"/>
              <w:jc w:val="center"/>
              <w:rPr>
                <w:rFonts w:ascii="Times New Roman" w:hAnsi="Times New Roman" w:cs="Times New Roman"/>
                <w:sz w:val="24"/>
                <w:szCs w:val="24"/>
              </w:rPr>
            </w:pPr>
          </w:p>
        </w:tc>
        <w:tc>
          <w:tcPr>
            <w:tcW w:w="1232" w:type="pct"/>
            <w:vMerge w:val="restart"/>
            <w:tcBorders>
              <w:top w:val="single" w:sz="4" w:space="0" w:color="auto"/>
              <w:left w:val="nil"/>
              <w:right w:val="nil"/>
            </w:tcBorders>
            <w:shd w:val="clear" w:color="auto" w:fill="auto"/>
            <w:noWrap/>
            <w:vAlign w:val="center"/>
            <w:hideMark/>
          </w:tcPr>
          <w:p w14:paraId="405A6725"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PVA</w:t>
            </w:r>
          </w:p>
        </w:tc>
        <w:tc>
          <w:tcPr>
            <w:tcW w:w="346" w:type="pct"/>
            <w:tcBorders>
              <w:top w:val="single" w:sz="4" w:space="0" w:color="auto"/>
              <w:left w:val="nil"/>
              <w:right w:val="nil"/>
            </w:tcBorders>
            <w:shd w:val="clear" w:color="auto" w:fill="auto"/>
            <w:noWrap/>
            <w:vAlign w:val="center"/>
            <w:hideMark/>
          </w:tcPr>
          <w:p w14:paraId="6733CA49"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P01</w:t>
            </w:r>
          </w:p>
        </w:tc>
        <w:tc>
          <w:tcPr>
            <w:tcW w:w="657" w:type="pct"/>
            <w:tcBorders>
              <w:top w:val="nil"/>
              <w:left w:val="nil"/>
              <w:right w:val="nil"/>
            </w:tcBorders>
            <w:shd w:val="clear" w:color="auto" w:fill="auto"/>
            <w:noWrap/>
            <w:vAlign w:val="center"/>
            <w:hideMark/>
          </w:tcPr>
          <w:p w14:paraId="48E4362D"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87,71</w:t>
            </w:r>
          </w:p>
        </w:tc>
      </w:tr>
      <w:tr w:rsidR="00622114" w:rsidRPr="00622114" w14:paraId="424C3FE0" w14:textId="77777777" w:rsidTr="00622114">
        <w:trPr>
          <w:trHeight w:val="300"/>
          <w:jc w:val="center"/>
        </w:trPr>
        <w:tc>
          <w:tcPr>
            <w:tcW w:w="1640" w:type="pct"/>
            <w:vMerge/>
            <w:tcBorders>
              <w:top w:val="nil"/>
              <w:left w:val="nil"/>
              <w:bottom w:val="single" w:sz="4" w:space="0" w:color="000000"/>
              <w:right w:val="nil"/>
            </w:tcBorders>
            <w:vAlign w:val="center"/>
            <w:hideMark/>
          </w:tcPr>
          <w:p w14:paraId="58677CC9" w14:textId="77777777" w:rsidR="00790498" w:rsidRPr="00622114" w:rsidRDefault="00790498" w:rsidP="00622114">
            <w:pPr>
              <w:spacing w:after="0" w:line="360" w:lineRule="auto"/>
              <w:ind w:firstLine="502"/>
              <w:rPr>
                <w:rFonts w:ascii="Times New Roman" w:hAnsi="Times New Roman" w:cs="Times New Roman"/>
                <w:sz w:val="24"/>
                <w:szCs w:val="24"/>
              </w:rPr>
            </w:pPr>
          </w:p>
        </w:tc>
        <w:tc>
          <w:tcPr>
            <w:tcW w:w="353" w:type="pct"/>
            <w:tcBorders>
              <w:top w:val="nil"/>
              <w:left w:val="nil"/>
              <w:bottom w:val="single" w:sz="4" w:space="0" w:color="auto"/>
              <w:right w:val="nil"/>
            </w:tcBorders>
            <w:shd w:val="clear" w:color="auto" w:fill="auto"/>
            <w:noWrap/>
            <w:vAlign w:val="center"/>
            <w:hideMark/>
          </w:tcPr>
          <w:p w14:paraId="152B03F6"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P02</w:t>
            </w:r>
          </w:p>
        </w:tc>
        <w:tc>
          <w:tcPr>
            <w:tcW w:w="658" w:type="pct"/>
            <w:tcBorders>
              <w:top w:val="nil"/>
              <w:left w:val="nil"/>
              <w:bottom w:val="single" w:sz="4" w:space="0" w:color="auto"/>
              <w:right w:val="nil"/>
            </w:tcBorders>
            <w:shd w:val="clear" w:color="auto" w:fill="auto"/>
            <w:noWrap/>
            <w:vAlign w:val="center"/>
            <w:hideMark/>
          </w:tcPr>
          <w:p w14:paraId="2E43BF26"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83,11</w:t>
            </w:r>
          </w:p>
        </w:tc>
        <w:tc>
          <w:tcPr>
            <w:tcW w:w="114" w:type="pct"/>
            <w:tcBorders>
              <w:top w:val="nil"/>
              <w:left w:val="nil"/>
              <w:bottom w:val="nil"/>
              <w:right w:val="nil"/>
            </w:tcBorders>
            <w:shd w:val="clear" w:color="auto" w:fill="auto"/>
            <w:noWrap/>
            <w:vAlign w:val="center"/>
            <w:hideMark/>
          </w:tcPr>
          <w:p w14:paraId="7808D2EB" w14:textId="77777777" w:rsidR="00790498" w:rsidRPr="00622114" w:rsidRDefault="00790498" w:rsidP="00622114">
            <w:pPr>
              <w:spacing w:after="0" w:line="360" w:lineRule="auto"/>
              <w:ind w:firstLine="502"/>
              <w:jc w:val="center"/>
              <w:rPr>
                <w:rFonts w:ascii="Times New Roman" w:hAnsi="Times New Roman" w:cs="Times New Roman"/>
                <w:sz w:val="24"/>
                <w:szCs w:val="24"/>
              </w:rPr>
            </w:pPr>
          </w:p>
        </w:tc>
        <w:tc>
          <w:tcPr>
            <w:tcW w:w="1232" w:type="pct"/>
            <w:vMerge/>
            <w:tcBorders>
              <w:left w:val="nil"/>
              <w:right w:val="nil"/>
            </w:tcBorders>
            <w:vAlign w:val="center"/>
            <w:hideMark/>
          </w:tcPr>
          <w:p w14:paraId="05907178" w14:textId="77777777" w:rsidR="00790498" w:rsidRPr="00622114" w:rsidRDefault="00790498" w:rsidP="00622114">
            <w:pPr>
              <w:spacing w:after="0" w:line="360" w:lineRule="auto"/>
              <w:ind w:firstLine="502"/>
              <w:rPr>
                <w:rFonts w:ascii="Times New Roman" w:hAnsi="Times New Roman" w:cs="Times New Roman"/>
                <w:sz w:val="24"/>
                <w:szCs w:val="24"/>
              </w:rPr>
            </w:pPr>
          </w:p>
        </w:tc>
        <w:tc>
          <w:tcPr>
            <w:tcW w:w="346" w:type="pct"/>
            <w:tcBorders>
              <w:top w:val="nil"/>
              <w:left w:val="nil"/>
              <w:right w:val="nil"/>
            </w:tcBorders>
            <w:shd w:val="clear" w:color="auto" w:fill="auto"/>
            <w:noWrap/>
            <w:vAlign w:val="center"/>
            <w:hideMark/>
          </w:tcPr>
          <w:p w14:paraId="115DB1E2"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P02</w:t>
            </w:r>
          </w:p>
        </w:tc>
        <w:tc>
          <w:tcPr>
            <w:tcW w:w="657" w:type="pct"/>
            <w:tcBorders>
              <w:top w:val="nil"/>
              <w:left w:val="nil"/>
              <w:right w:val="nil"/>
            </w:tcBorders>
            <w:shd w:val="clear" w:color="auto" w:fill="auto"/>
            <w:noWrap/>
            <w:vAlign w:val="center"/>
            <w:hideMark/>
          </w:tcPr>
          <w:p w14:paraId="527DE1CC"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82,21</w:t>
            </w:r>
          </w:p>
        </w:tc>
      </w:tr>
      <w:tr w:rsidR="00622114" w:rsidRPr="00622114" w14:paraId="1DE581AB" w14:textId="77777777" w:rsidTr="00622114">
        <w:trPr>
          <w:trHeight w:val="300"/>
          <w:jc w:val="center"/>
        </w:trPr>
        <w:tc>
          <w:tcPr>
            <w:tcW w:w="1640" w:type="pct"/>
            <w:vMerge w:val="restart"/>
            <w:tcBorders>
              <w:top w:val="nil"/>
              <w:left w:val="nil"/>
              <w:bottom w:val="single" w:sz="4" w:space="0" w:color="000000"/>
              <w:right w:val="nil"/>
            </w:tcBorders>
            <w:shd w:val="clear" w:color="auto" w:fill="auto"/>
            <w:noWrap/>
            <w:vAlign w:val="center"/>
            <w:hideMark/>
          </w:tcPr>
          <w:p w14:paraId="023B5C61"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FER</w:t>
            </w:r>
          </w:p>
        </w:tc>
        <w:tc>
          <w:tcPr>
            <w:tcW w:w="353" w:type="pct"/>
            <w:tcBorders>
              <w:top w:val="nil"/>
              <w:left w:val="nil"/>
              <w:bottom w:val="nil"/>
              <w:right w:val="nil"/>
            </w:tcBorders>
            <w:shd w:val="clear" w:color="auto" w:fill="auto"/>
            <w:noWrap/>
            <w:vAlign w:val="center"/>
            <w:hideMark/>
          </w:tcPr>
          <w:p w14:paraId="3A53AD36"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P02</w:t>
            </w:r>
          </w:p>
        </w:tc>
        <w:tc>
          <w:tcPr>
            <w:tcW w:w="658" w:type="pct"/>
            <w:tcBorders>
              <w:top w:val="nil"/>
              <w:left w:val="nil"/>
              <w:bottom w:val="nil"/>
              <w:right w:val="nil"/>
            </w:tcBorders>
            <w:shd w:val="clear" w:color="auto" w:fill="auto"/>
            <w:noWrap/>
            <w:vAlign w:val="center"/>
            <w:hideMark/>
          </w:tcPr>
          <w:p w14:paraId="3728BE65"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82,08</w:t>
            </w:r>
          </w:p>
        </w:tc>
        <w:tc>
          <w:tcPr>
            <w:tcW w:w="114" w:type="pct"/>
            <w:tcBorders>
              <w:top w:val="nil"/>
              <w:left w:val="nil"/>
              <w:bottom w:val="nil"/>
              <w:right w:val="nil"/>
            </w:tcBorders>
            <w:shd w:val="clear" w:color="auto" w:fill="auto"/>
            <w:noWrap/>
            <w:vAlign w:val="center"/>
            <w:hideMark/>
          </w:tcPr>
          <w:p w14:paraId="311D0800" w14:textId="77777777" w:rsidR="00790498" w:rsidRPr="00622114" w:rsidRDefault="00790498" w:rsidP="00622114">
            <w:pPr>
              <w:spacing w:after="0" w:line="360" w:lineRule="auto"/>
              <w:ind w:firstLine="502"/>
              <w:jc w:val="center"/>
              <w:rPr>
                <w:rFonts w:ascii="Times New Roman" w:hAnsi="Times New Roman" w:cs="Times New Roman"/>
                <w:sz w:val="24"/>
                <w:szCs w:val="24"/>
              </w:rPr>
            </w:pPr>
          </w:p>
        </w:tc>
        <w:tc>
          <w:tcPr>
            <w:tcW w:w="1232" w:type="pct"/>
            <w:vMerge/>
            <w:tcBorders>
              <w:left w:val="nil"/>
              <w:right w:val="nil"/>
            </w:tcBorders>
            <w:shd w:val="clear" w:color="auto" w:fill="auto"/>
            <w:noWrap/>
            <w:vAlign w:val="center"/>
            <w:hideMark/>
          </w:tcPr>
          <w:p w14:paraId="41C8C3A3" w14:textId="77777777" w:rsidR="00790498" w:rsidRPr="00622114" w:rsidRDefault="00790498" w:rsidP="00622114">
            <w:pPr>
              <w:spacing w:after="0" w:line="360" w:lineRule="auto"/>
              <w:ind w:firstLine="502"/>
              <w:rPr>
                <w:rFonts w:ascii="Times New Roman" w:hAnsi="Times New Roman" w:cs="Times New Roman"/>
                <w:sz w:val="24"/>
                <w:szCs w:val="24"/>
              </w:rPr>
            </w:pPr>
          </w:p>
        </w:tc>
        <w:tc>
          <w:tcPr>
            <w:tcW w:w="346" w:type="pct"/>
            <w:tcBorders>
              <w:left w:val="nil"/>
              <w:bottom w:val="nil"/>
              <w:right w:val="nil"/>
            </w:tcBorders>
            <w:shd w:val="clear" w:color="auto" w:fill="auto"/>
            <w:noWrap/>
            <w:vAlign w:val="center"/>
            <w:hideMark/>
          </w:tcPr>
          <w:p w14:paraId="4E0623AC"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P03</w:t>
            </w:r>
          </w:p>
        </w:tc>
        <w:tc>
          <w:tcPr>
            <w:tcW w:w="657" w:type="pct"/>
            <w:tcBorders>
              <w:left w:val="nil"/>
              <w:bottom w:val="nil"/>
              <w:right w:val="nil"/>
            </w:tcBorders>
            <w:shd w:val="clear" w:color="auto" w:fill="auto"/>
            <w:noWrap/>
            <w:vAlign w:val="center"/>
            <w:hideMark/>
          </w:tcPr>
          <w:p w14:paraId="5C93670F"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89,02</w:t>
            </w:r>
          </w:p>
        </w:tc>
      </w:tr>
      <w:tr w:rsidR="00622114" w:rsidRPr="00622114" w14:paraId="0207FC1E" w14:textId="77777777" w:rsidTr="00622114">
        <w:trPr>
          <w:trHeight w:val="300"/>
          <w:jc w:val="center"/>
        </w:trPr>
        <w:tc>
          <w:tcPr>
            <w:tcW w:w="1640" w:type="pct"/>
            <w:vMerge/>
            <w:tcBorders>
              <w:top w:val="nil"/>
              <w:left w:val="nil"/>
              <w:bottom w:val="single" w:sz="4" w:space="0" w:color="000000"/>
              <w:right w:val="nil"/>
            </w:tcBorders>
            <w:vAlign w:val="center"/>
            <w:hideMark/>
          </w:tcPr>
          <w:p w14:paraId="08AC4116" w14:textId="77777777" w:rsidR="00790498" w:rsidRPr="00622114" w:rsidRDefault="00790498" w:rsidP="00622114">
            <w:pPr>
              <w:spacing w:after="0" w:line="360" w:lineRule="auto"/>
              <w:ind w:firstLine="502"/>
              <w:rPr>
                <w:rFonts w:ascii="Times New Roman" w:hAnsi="Times New Roman" w:cs="Times New Roman"/>
                <w:sz w:val="24"/>
                <w:szCs w:val="24"/>
              </w:rPr>
            </w:pPr>
          </w:p>
        </w:tc>
        <w:tc>
          <w:tcPr>
            <w:tcW w:w="353" w:type="pct"/>
            <w:tcBorders>
              <w:top w:val="nil"/>
              <w:left w:val="nil"/>
              <w:bottom w:val="nil"/>
              <w:right w:val="nil"/>
            </w:tcBorders>
            <w:shd w:val="clear" w:color="auto" w:fill="auto"/>
            <w:noWrap/>
            <w:vAlign w:val="center"/>
            <w:hideMark/>
          </w:tcPr>
          <w:p w14:paraId="534992CD"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P03</w:t>
            </w:r>
          </w:p>
        </w:tc>
        <w:tc>
          <w:tcPr>
            <w:tcW w:w="658" w:type="pct"/>
            <w:tcBorders>
              <w:top w:val="nil"/>
              <w:left w:val="nil"/>
              <w:bottom w:val="nil"/>
              <w:right w:val="nil"/>
            </w:tcBorders>
            <w:shd w:val="clear" w:color="auto" w:fill="auto"/>
            <w:noWrap/>
            <w:vAlign w:val="center"/>
            <w:hideMark/>
          </w:tcPr>
          <w:p w14:paraId="4891A9F3"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93,09</w:t>
            </w:r>
          </w:p>
        </w:tc>
        <w:tc>
          <w:tcPr>
            <w:tcW w:w="114" w:type="pct"/>
            <w:tcBorders>
              <w:top w:val="nil"/>
              <w:left w:val="nil"/>
              <w:bottom w:val="nil"/>
              <w:right w:val="nil"/>
            </w:tcBorders>
            <w:shd w:val="clear" w:color="auto" w:fill="auto"/>
            <w:noWrap/>
            <w:vAlign w:val="center"/>
            <w:hideMark/>
          </w:tcPr>
          <w:p w14:paraId="1731A333" w14:textId="77777777" w:rsidR="00790498" w:rsidRPr="00622114" w:rsidRDefault="00790498" w:rsidP="00622114">
            <w:pPr>
              <w:spacing w:after="0" w:line="360" w:lineRule="auto"/>
              <w:ind w:firstLine="502"/>
              <w:jc w:val="center"/>
              <w:rPr>
                <w:rFonts w:ascii="Times New Roman" w:hAnsi="Times New Roman" w:cs="Times New Roman"/>
                <w:sz w:val="24"/>
                <w:szCs w:val="24"/>
              </w:rPr>
            </w:pPr>
          </w:p>
        </w:tc>
        <w:tc>
          <w:tcPr>
            <w:tcW w:w="1232" w:type="pct"/>
            <w:vMerge/>
            <w:tcBorders>
              <w:left w:val="nil"/>
              <w:bottom w:val="single" w:sz="4" w:space="0" w:color="auto"/>
              <w:right w:val="nil"/>
            </w:tcBorders>
            <w:vAlign w:val="center"/>
            <w:hideMark/>
          </w:tcPr>
          <w:p w14:paraId="664E9FC9" w14:textId="77777777" w:rsidR="00790498" w:rsidRPr="00622114" w:rsidRDefault="00790498" w:rsidP="00622114">
            <w:pPr>
              <w:spacing w:after="0" w:line="360" w:lineRule="auto"/>
              <w:ind w:firstLine="502"/>
              <w:rPr>
                <w:rFonts w:ascii="Times New Roman" w:hAnsi="Times New Roman" w:cs="Times New Roman"/>
                <w:sz w:val="24"/>
                <w:szCs w:val="24"/>
              </w:rPr>
            </w:pPr>
          </w:p>
        </w:tc>
        <w:tc>
          <w:tcPr>
            <w:tcW w:w="346" w:type="pct"/>
            <w:tcBorders>
              <w:top w:val="nil"/>
              <w:left w:val="nil"/>
              <w:bottom w:val="single" w:sz="4" w:space="0" w:color="auto"/>
              <w:right w:val="nil"/>
            </w:tcBorders>
            <w:shd w:val="clear" w:color="auto" w:fill="auto"/>
            <w:noWrap/>
            <w:vAlign w:val="center"/>
            <w:hideMark/>
          </w:tcPr>
          <w:p w14:paraId="7154CE10"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P04</w:t>
            </w:r>
          </w:p>
        </w:tc>
        <w:tc>
          <w:tcPr>
            <w:tcW w:w="657" w:type="pct"/>
            <w:tcBorders>
              <w:top w:val="nil"/>
              <w:left w:val="nil"/>
              <w:bottom w:val="single" w:sz="4" w:space="0" w:color="auto"/>
              <w:right w:val="nil"/>
            </w:tcBorders>
            <w:shd w:val="clear" w:color="auto" w:fill="auto"/>
            <w:noWrap/>
            <w:vAlign w:val="center"/>
            <w:hideMark/>
          </w:tcPr>
          <w:p w14:paraId="5D72392B"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86,18</w:t>
            </w:r>
          </w:p>
        </w:tc>
      </w:tr>
      <w:tr w:rsidR="00622114" w:rsidRPr="00622114" w14:paraId="560B7B53" w14:textId="77777777" w:rsidTr="00622114">
        <w:trPr>
          <w:trHeight w:val="300"/>
          <w:jc w:val="center"/>
        </w:trPr>
        <w:tc>
          <w:tcPr>
            <w:tcW w:w="1640" w:type="pct"/>
            <w:vMerge/>
            <w:tcBorders>
              <w:top w:val="nil"/>
              <w:left w:val="nil"/>
              <w:bottom w:val="single" w:sz="4" w:space="0" w:color="000000"/>
              <w:right w:val="nil"/>
            </w:tcBorders>
            <w:vAlign w:val="center"/>
            <w:hideMark/>
          </w:tcPr>
          <w:p w14:paraId="075FC80B" w14:textId="77777777" w:rsidR="00790498" w:rsidRPr="00622114" w:rsidRDefault="00790498" w:rsidP="00622114">
            <w:pPr>
              <w:spacing w:after="0" w:line="360" w:lineRule="auto"/>
              <w:ind w:firstLine="502"/>
              <w:rPr>
                <w:rFonts w:ascii="Times New Roman" w:hAnsi="Times New Roman" w:cs="Times New Roman"/>
                <w:sz w:val="24"/>
                <w:szCs w:val="24"/>
              </w:rPr>
            </w:pPr>
          </w:p>
        </w:tc>
        <w:tc>
          <w:tcPr>
            <w:tcW w:w="353" w:type="pct"/>
            <w:tcBorders>
              <w:top w:val="nil"/>
              <w:left w:val="nil"/>
              <w:bottom w:val="single" w:sz="4" w:space="0" w:color="auto"/>
              <w:right w:val="nil"/>
            </w:tcBorders>
            <w:shd w:val="clear" w:color="auto" w:fill="auto"/>
            <w:noWrap/>
            <w:vAlign w:val="center"/>
            <w:hideMark/>
          </w:tcPr>
          <w:p w14:paraId="008A09DF"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P04</w:t>
            </w:r>
          </w:p>
        </w:tc>
        <w:tc>
          <w:tcPr>
            <w:tcW w:w="658" w:type="pct"/>
            <w:tcBorders>
              <w:top w:val="nil"/>
              <w:left w:val="nil"/>
              <w:bottom w:val="single" w:sz="4" w:space="0" w:color="auto"/>
              <w:right w:val="nil"/>
            </w:tcBorders>
            <w:shd w:val="clear" w:color="auto" w:fill="auto"/>
            <w:noWrap/>
            <w:vAlign w:val="center"/>
            <w:hideMark/>
          </w:tcPr>
          <w:p w14:paraId="4AA95923"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88,27</w:t>
            </w:r>
          </w:p>
        </w:tc>
        <w:tc>
          <w:tcPr>
            <w:tcW w:w="114" w:type="pct"/>
            <w:tcBorders>
              <w:top w:val="nil"/>
              <w:left w:val="nil"/>
              <w:bottom w:val="nil"/>
              <w:right w:val="nil"/>
            </w:tcBorders>
            <w:shd w:val="clear" w:color="auto" w:fill="auto"/>
            <w:noWrap/>
            <w:vAlign w:val="center"/>
            <w:hideMark/>
          </w:tcPr>
          <w:p w14:paraId="5DCD79F2" w14:textId="77777777" w:rsidR="00790498" w:rsidRPr="00622114" w:rsidRDefault="00790498" w:rsidP="00622114">
            <w:pPr>
              <w:spacing w:after="0" w:line="360" w:lineRule="auto"/>
              <w:ind w:firstLine="502"/>
              <w:jc w:val="center"/>
              <w:rPr>
                <w:rFonts w:ascii="Times New Roman" w:hAnsi="Times New Roman" w:cs="Times New Roman"/>
                <w:sz w:val="24"/>
                <w:szCs w:val="24"/>
              </w:rPr>
            </w:pPr>
          </w:p>
        </w:tc>
        <w:tc>
          <w:tcPr>
            <w:tcW w:w="1232" w:type="pct"/>
            <w:vMerge w:val="restart"/>
            <w:tcBorders>
              <w:top w:val="single" w:sz="4" w:space="0" w:color="auto"/>
              <w:left w:val="nil"/>
              <w:bottom w:val="single" w:sz="4" w:space="0" w:color="000000"/>
              <w:right w:val="nil"/>
            </w:tcBorders>
            <w:shd w:val="clear" w:color="auto" w:fill="auto"/>
            <w:noWrap/>
            <w:vAlign w:val="center"/>
            <w:hideMark/>
          </w:tcPr>
          <w:p w14:paraId="2ECC1C58"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RDP</w:t>
            </w:r>
          </w:p>
        </w:tc>
        <w:tc>
          <w:tcPr>
            <w:tcW w:w="346" w:type="pct"/>
            <w:tcBorders>
              <w:top w:val="single" w:sz="4" w:space="0" w:color="auto"/>
              <w:left w:val="nil"/>
              <w:bottom w:val="nil"/>
              <w:right w:val="nil"/>
            </w:tcBorders>
            <w:shd w:val="clear" w:color="auto" w:fill="auto"/>
            <w:noWrap/>
            <w:vAlign w:val="center"/>
            <w:hideMark/>
          </w:tcPr>
          <w:p w14:paraId="6768373B"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P01</w:t>
            </w:r>
          </w:p>
        </w:tc>
        <w:tc>
          <w:tcPr>
            <w:tcW w:w="657" w:type="pct"/>
            <w:tcBorders>
              <w:top w:val="nil"/>
              <w:left w:val="nil"/>
              <w:bottom w:val="nil"/>
              <w:right w:val="nil"/>
            </w:tcBorders>
            <w:shd w:val="clear" w:color="auto" w:fill="auto"/>
            <w:noWrap/>
            <w:vAlign w:val="center"/>
            <w:hideMark/>
          </w:tcPr>
          <w:p w14:paraId="241BB56A"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80,09</w:t>
            </w:r>
          </w:p>
        </w:tc>
      </w:tr>
      <w:tr w:rsidR="00622114" w:rsidRPr="00622114" w14:paraId="65D82AF7" w14:textId="77777777" w:rsidTr="00622114">
        <w:trPr>
          <w:trHeight w:val="300"/>
          <w:jc w:val="center"/>
        </w:trPr>
        <w:tc>
          <w:tcPr>
            <w:tcW w:w="1640" w:type="pct"/>
            <w:vMerge w:val="restart"/>
            <w:tcBorders>
              <w:top w:val="nil"/>
              <w:left w:val="nil"/>
              <w:bottom w:val="single" w:sz="4" w:space="0" w:color="000000"/>
              <w:right w:val="nil"/>
            </w:tcBorders>
            <w:shd w:val="clear" w:color="auto" w:fill="auto"/>
            <w:noWrap/>
            <w:vAlign w:val="center"/>
            <w:hideMark/>
          </w:tcPr>
          <w:p w14:paraId="1186F480"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FI3</w:t>
            </w:r>
          </w:p>
        </w:tc>
        <w:tc>
          <w:tcPr>
            <w:tcW w:w="353" w:type="pct"/>
            <w:tcBorders>
              <w:top w:val="nil"/>
              <w:left w:val="nil"/>
              <w:bottom w:val="nil"/>
              <w:right w:val="nil"/>
            </w:tcBorders>
            <w:shd w:val="clear" w:color="auto" w:fill="auto"/>
            <w:noWrap/>
            <w:vAlign w:val="center"/>
            <w:hideMark/>
          </w:tcPr>
          <w:p w14:paraId="015E81B5"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P01</w:t>
            </w:r>
          </w:p>
        </w:tc>
        <w:tc>
          <w:tcPr>
            <w:tcW w:w="658" w:type="pct"/>
            <w:tcBorders>
              <w:top w:val="nil"/>
              <w:left w:val="nil"/>
              <w:bottom w:val="nil"/>
              <w:right w:val="nil"/>
            </w:tcBorders>
            <w:shd w:val="clear" w:color="auto" w:fill="auto"/>
            <w:noWrap/>
            <w:vAlign w:val="center"/>
            <w:hideMark/>
          </w:tcPr>
          <w:p w14:paraId="21A2C0DE"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89,67</w:t>
            </w:r>
          </w:p>
        </w:tc>
        <w:tc>
          <w:tcPr>
            <w:tcW w:w="114" w:type="pct"/>
            <w:tcBorders>
              <w:top w:val="nil"/>
              <w:left w:val="nil"/>
              <w:bottom w:val="nil"/>
              <w:right w:val="nil"/>
            </w:tcBorders>
            <w:shd w:val="clear" w:color="auto" w:fill="auto"/>
            <w:noWrap/>
            <w:vAlign w:val="center"/>
            <w:hideMark/>
          </w:tcPr>
          <w:p w14:paraId="7BCDBC65" w14:textId="77777777" w:rsidR="00790498" w:rsidRPr="00622114" w:rsidRDefault="00790498" w:rsidP="00622114">
            <w:pPr>
              <w:spacing w:after="0" w:line="360" w:lineRule="auto"/>
              <w:ind w:firstLine="502"/>
              <w:jc w:val="center"/>
              <w:rPr>
                <w:rFonts w:ascii="Times New Roman" w:hAnsi="Times New Roman" w:cs="Times New Roman"/>
                <w:sz w:val="24"/>
                <w:szCs w:val="24"/>
              </w:rPr>
            </w:pPr>
          </w:p>
        </w:tc>
        <w:tc>
          <w:tcPr>
            <w:tcW w:w="1232" w:type="pct"/>
            <w:vMerge/>
            <w:tcBorders>
              <w:top w:val="nil"/>
              <w:left w:val="nil"/>
              <w:bottom w:val="single" w:sz="4" w:space="0" w:color="000000"/>
              <w:right w:val="nil"/>
            </w:tcBorders>
            <w:vAlign w:val="center"/>
            <w:hideMark/>
          </w:tcPr>
          <w:p w14:paraId="1EC1596E" w14:textId="77777777" w:rsidR="00790498" w:rsidRPr="00622114" w:rsidRDefault="00790498" w:rsidP="00622114">
            <w:pPr>
              <w:spacing w:after="0" w:line="360" w:lineRule="auto"/>
              <w:ind w:firstLine="502"/>
              <w:rPr>
                <w:rFonts w:ascii="Times New Roman" w:hAnsi="Times New Roman" w:cs="Times New Roman"/>
                <w:sz w:val="24"/>
                <w:szCs w:val="24"/>
              </w:rPr>
            </w:pPr>
          </w:p>
        </w:tc>
        <w:tc>
          <w:tcPr>
            <w:tcW w:w="346" w:type="pct"/>
            <w:tcBorders>
              <w:top w:val="nil"/>
              <w:left w:val="nil"/>
              <w:bottom w:val="nil"/>
              <w:right w:val="nil"/>
            </w:tcBorders>
            <w:shd w:val="clear" w:color="auto" w:fill="auto"/>
            <w:noWrap/>
            <w:vAlign w:val="center"/>
            <w:hideMark/>
          </w:tcPr>
          <w:p w14:paraId="7A908E06"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P02</w:t>
            </w:r>
          </w:p>
        </w:tc>
        <w:tc>
          <w:tcPr>
            <w:tcW w:w="657" w:type="pct"/>
            <w:tcBorders>
              <w:top w:val="nil"/>
              <w:left w:val="nil"/>
              <w:bottom w:val="nil"/>
              <w:right w:val="nil"/>
            </w:tcBorders>
            <w:shd w:val="clear" w:color="auto" w:fill="auto"/>
            <w:noWrap/>
            <w:vAlign w:val="center"/>
            <w:hideMark/>
          </w:tcPr>
          <w:p w14:paraId="16A57DCF"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77,76</w:t>
            </w:r>
          </w:p>
        </w:tc>
      </w:tr>
      <w:tr w:rsidR="00622114" w:rsidRPr="00622114" w14:paraId="4C863928" w14:textId="77777777" w:rsidTr="00622114">
        <w:trPr>
          <w:trHeight w:val="300"/>
          <w:jc w:val="center"/>
        </w:trPr>
        <w:tc>
          <w:tcPr>
            <w:tcW w:w="1640" w:type="pct"/>
            <w:vMerge/>
            <w:tcBorders>
              <w:top w:val="nil"/>
              <w:left w:val="nil"/>
              <w:bottom w:val="single" w:sz="4" w:space="0" w:color="000000"/>
              <w:right w:val="nil"/>
            </w:tcBorders>
            <w:vAlign w:val="center"/>
            <w:hideMark/>
          </w:tcPr>
          <w:p w14:paraId="30F52B7C" w14:textId="77777777" w:rsidR="00790498" w:rsidRPr="00622114" w:rsidRDefault="00790498" w:rsidP="00622114">
            <w:pPr>
              <w:spacing w:after="0" w:line="360" w:lineRule="auto"/>
              <w:ind w:firstLine="502"/>
              <w:rPr>
                <w:rFonts w:ascii="Times New Roman" w:hAnsi="Times New Roman" w:cs="Times New Roman"/>
                <w:sz w:val="24"/>
                <w:szCs w:val="24"/>
              </w:rPr>
            </w:pPr>
          </w:p>
        </w:tc>
        <w:tc>
          <w:tcPr>
            <w:tcW w:w="353" w:type="pct"/>
            <w:tcBorders>
              <w:top w:val="nil"/>
              <w:left w:val="nil"/>
              <w:bottom w:val="nil"/>
              <w:right w:val="nil"/>
            </w:tcBorders>
            <w:shd w:val="clear" w:color="auto" w:fill="auto"/>
            <w:noWrap/>
            <w:vAlign w:val="center"/>
            <w:hideMark/>
          </w:tcPr>
          <w:p w14:paraId="48920126"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P02</w:t>
            </w:r>
          </w:p>
        </w:tc>
        <w:tc>
          <w:tcPr>
            <w:tcW w:w="658" w:type="pct"/>
            <w:tcBorders>
              <w:top w:val="nil"/>
              <w:left w:val="nil"/>
              <w:bottom w:val="nil"/>
              <w:right w:val="nil"/>
            </w:tcBorders>
            <w:shd w:val="clear" w:color="auto" w:fill="auto"/>
            <w:noWrap/>
            <w:vAlign w:val="center"/>
            <w:hideMark/>
          </w:tcPr>
          <w:p w14:paraId="2442E520"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92,25</w:t>
            </w:r>
          </w:p>
        </w:tc>
        <w:tc>
          <w:tcPr>
            <w:tcW w:w="114" w:type="pct"/>
            <w:tcBorders>
              <w:top w:val="nil"/>
              <w:left w:val="nil"/>
              <w:bottom w:val="nil"/>
              <w:right w:val="nil"/>
            </w:tcBorders>
            <w:shd w:val="clear" w:color="auto" w:fill="auto"/>
            <w:noWrap/>
            <w:vAlign w:val="center"/>
            <w:hideMark/>
          </w:tcPr>
          <w:p w14:paraId="355CB9B1" w14:textId="77777777" w:rsidR="00790498" w:rsidRPr="00622114" w:rsidRDefault="00790498" w:rsidP="00622114">
            <w:pPr>
              <w:spacing w:after="0" w:line="360" w:lineRule="auto"/>
              <w:ind w:firstLine="502"/>
              <w:jc w:val="center"/>
              <w:rPr>
                <w:rFonts w:ascii="Times New Roman" w:hAnsi="Times New Roman" w:cs="Times New Roman"/>
                <w:sz w:val="24"/>
                <w:szCs w:val="24"/>
              </w:rPr>
            </w:pPr>
          </w:p>
        </w:tc>
        <w:tc>
          <w:tcPr>
            <w:tcW w:w="1232" w:type="pct"/>
            <w:vMerge/>
            <w:tcBorders>
              <w:top w:val="nil"/>
              <w:left w:val="nil"/>
              <w:bottom w:val="single" w:sz="4" w:space="0" w:color="000000"/>
              <w:right w:val="nil"/>
            </w:tcBorders>
            <w:vAlign w:val="center"/>
            <w:hideMark/>
          </w:tcPr>
          <w:p w14:paraId="414C9690" w14:textId="77777777" w:rsidR="00790498" w:rsidRPr="00622114" w:rsidRDefault="00790498" w:rsidP="00622114">
            <w:pPr>
              <w:spacing w:after="0" w:line="360" w:lineRule="auto"/>
              <w:ind w:firstLine="502"/>
              <w:rPr>
                <w:rFonts w:ascii="Times New Roman" w:hAnsi="Times New Roman" w:cs="Times New Roman"/>
                <w:sz w:val="24"/>
                <w:szCs w:val="24"/>
              </w:rPr>
            </w:pPr>
          </w:p>
        </w:tc>
        <w:tc>
          <w:tcPr>
            <w:tcW w:w="346" w:type="pct"/>
            <w:tcBorders>
              <w:top w:val="nil"/>
              <w:left w:val="nil"/>
              <w:bottom w:val="single" w:sz="4" w:space="0" w:color="auto"/>
              <w:right w:val="nil"/>
            </w:tcBorders>
            <w:shd w:val="clear" w:color="auto" w:fill="auto"/>
            <w:noWrap/>
            <w:vAlign w:val="center"/>
            <w:hideMark/>
          </w:tcPr>
          <w:p w14:paraId="3238F54B"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P03</w:t>
            </w:r>
          </w:p>
        </w:tc>
        <w:tc>
          <w:tcPr>
            <w:tcW w:w="657" w:type="pct"/>
            <w:tcBorders>
              <w:top w:val="nil"/>
              <w:left w:val="nil"/>
              <w:bottom w:val="single" w:sz="4" w:space="0" w:color="auto"/>
              <w:right w:val="nil"/>
            </w:tcBorders>
            <w:shd w:val="clear" w:color="auto" w:fill="auto"/>
            <w:noWrap/>
            <w:vAlign w:val="center"/>
            <w:hideMark/>
          </w:tcPr>
          <w:p w14:paraId="4E271610"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83,47</w:t>
            </w:r>
          </w:p>
        </w:tc>
      </w:tr>
      <w:tr w:rsidR="00622114" w:rsidRPr="00622114" w14:paraId="44C59695" w14:textId="77777777" w:rsidTr="00622114">
        <w:trPr>
          <w:trHeight w:val="300"/>
          <w:jc w:val="center"/>
        </w:trPr>
        <w:tc>
          <w:tcPr>
            <w:tcW w:w="1640" w:type="pct"/>
            <w:vMerge/>
            <w:tcBorders>
              <w:top w:val="nil"/>
              <w:left w:val="nil"/>
              <w:bottom w:val="single" w:sz="4" w:space="0" w:color="000000"/>
              <w:right w:val="nil"/>
            </w:tcBorders>
            <w:vAlign w:val="center"/>
            <w:hideMark/>
          </w:tcPr>
          <w:p w14:paraId="544B8919" w14:textId="77777777" w:rsidR="00790498" w:rsidRPr="00622114" w:rsidRDefault="00790498" w:rsidP="00622114">
            <w:pPr>
              <w:spacing w:after="0" w:line="360" w:lineRule="auto"/>
              <w:ind w:firstLine="502"/>
              <w:rPr>
                <w:rFonts w:ascii="Times New Roman" w:hAnsi="Times New Roman" w:cs="Times New Roman"/>
                <w:sz w:val="24"/>
                <w:szCs w:val="24"/>
              </w:rPr>
            </w:pPr>
          </w:p>
        </w:tc>
        <w:tc>
          <w:tcPr>
            <w:tcW w:w="353" w:type="pct"/>
            <w:tcBorders>
              <w:top w:val="nil"/>
              <w:left w:val="nil"/>
              <w:bottom w:val="single" w:sz="4" w:space="0" w:color="auto"/>
              <w:right w:val="nil"/>
            </w:tcBorders>
            <w:shd w:val="clear" w:color="auto" w:fill="auto"/>
            <w:noWrap/>
            <w:vAlign w:val="center"/>
            <w:hideMark/>
          </w:tcPr>
          <w:p w14:paraId="70D76E8D"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P03</w:t>
            </w:r>
          </w:p>
        </w:tc>
        <w:tc>
          <w:tcPr>
            <w:tcW w:w="658" w:type="pct"/>
            <w:tcBorders>
              <w:top w:val="nil"/>
              <w:left w:val="nil"/>
              <w:bottom w:val="single" w:sz="4" w:space="0" w:color="auto"/>
              <w:right w:val="nil"/>
            </w:tcBorders>
            <w:shd w:val="clear" w:color="auto" w:fill="auto"/>
            <w:noWrap/>
            <w:vAlign w:val="center"/>
            <w:hideMark/>
          </w:tcPr>
          <w:p w14:paraId="13B91BB3"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92,79</w:t>
            </w:r>
          </w:p>
        </w:tc>
        <w:tc>
          <w:tcPr>
            <w:tcW w:w="114" w:type="pct"/>
            <w:tcBorders>
              <w:top w:val="nil"/>
              <w:left w:val="nil"/>
              <w:bottom w:val="nil"/>
              <w:right w:val="nil"/>
            </w:tcBorders>
            <w:shd w:val="clear" w:color="auto" w:fill="auto"/>
            <w:noWrap/>
            <w:vAlign w:val="center"/>
            <w:hideMark/>
          </w:tcPr>
          <w:p w14:paraId="3F685AE6" w14:textId="77777777" w:rsidR="00790498" w:rsidRPr="00622114" w:rsidRDefault="00790498" w:rsidP="00622114">
            <w:pPr>
              <w:spacing w:after="0" w:line="360" w:lineRule="auto"/>
              <w:ind w:firstLine="502"/>
              <w:jc w:val="center"/>
              <w:rPr>
                <w:rFonts w:ascii="Times New Roman" w:hAnsi="Times New Roman" w:cs="Times New Roman"/>
                <w:sz w:val="24"/>
                <w:szCs w:val="24"/>
              </w:rPr>
            </w:pPr>
          </w:p>
        </w:tc>
        <w:tc>
          <w:tcPr>
            <w:tcW w:w="1232" w:type="pct"/>
            <w:vMerge w:val="restart"/>
            <w:tcBorders>
              <w:top w:val="nil"/>
              <w:left w:val="nil"/>
              <w:bottom w:val="single" w:sz="4" w:space="0" w:color="000000"/>
              <w:right w:val="nil"/>
            </w:tcBorders>
            <w:shd w:val="clear" w:color="auto" w:fill="auto"/>
            <w:noWrap/>
            <w:vAlign w:val="center"/>
            <w:hideMark/>
          </w:tcPr>
          <w:p w14:paraId="2173FE3A"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SCA</w:t>
            </w:r>
          </w:p>
        </w:tc>
        <w:tc>
          <w:tcPr>
            <w:tcW w:w="346" w:type="pct"/>
            <w:tcBorders>
              <w:top w:val="nil"/>
              <w:left w:val="nil"/>
              <w:bottom w:val="nil"/>
              <w:right w:val="nil"/>
            </w:tcBorders>
            <w:shd w:val="clear" w:color="auto" w:fill="auto"/>
            <w:noWrap/>
            <w:vAlign w:val="center"/>
            <w:hideMark/>
          </w:tcPr>
          <w:p w14:paraId="79ECB449"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P01</w:t>
            </w:r>
          </w:p>
        </w:tc>
        <w:tc>
          <w:tcPr>
            <w:tcW w:w="657" w:type="pct"/>
            <w:tcBorders>
              <w:top w:val="nil"/>
              <w:left w:val="nil"/>
              <w:bottom w:val="nil"/>
              <w:right w:val="nil"/>
            </w:tcBorders>
            <w:shd w:val="clear" w:color="auto" w:fill="auto"/>
            <w:noWrap/>
            <w:vAlign w:val="center"/>
            <w:hideMark/>
          </w:tcPr>
          <w:p w14:paraId="08CD3DB9"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88,62</w:t>
            </w:r>
          </w:p>
        </w:tc>
      </w:tr>
      <w:tr w:rsidR="00622114" w:rsidRPr="00622114" w14:paraId="12D26F56" w14:textId="77777777" w:rsidTr="00622114">
        <w:trPr>
          <w:trHeight w:val="300"/>
          <w:jc w:val="center"/>
        </w:trPr>
        <w:tc>
          <w:tcPr>
            <w:tcW w:w="1640" w:type="pct"/>
            <w:vMerge w:val="restart"/>
            <w:tcBorders>
              <w:top w:val="nil"/>
              <w:left w:val="nil"/>
              <w:bottom w:val="single" w:sz="4" w:space="0" w:color="000000"/>
              <w:right w:val="nil"/>
            </w:tcBorders>
            <w:shd w:val="clear" w:color="auto" w:fill="auto"/>
            <w:noWrap/>
            <w:vAlign w:val="center"/>
            <w:hideMark/>
          </w:tcPr>
          <w:p w14:paraId="6B2EAAB1"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LAG</w:t>
            </w:r>
          </w:p>
        </w:tc>
        <w:tc>
          <w:tcPr>
            <w:tcW w:w="353" w:type="pct"/>
            <w:tcBorders>
              <w:top w:val="nil"/>
              <w:left w:val="nil"/>
              <w:bottom w:val="nil"/>
              <w:right w:val="nil"/>
            </w:tcBorders>
            <w:shd w:val="clear" w:color="auto" w:fill="auto"/>
            <w:noWrap/>
            <w:vAlign w:val="center"/>
            <w:hideMark/>
          </w:tcPr>
          <w:p w14:paraId="78573CF6"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P01</w:t>
            </w:r>
          </w:p>
        </w:tc>
        <w:tc>
          <w:tcPr>
            <w:tcW w:w="658" w:type="pct"/>
            <w:tcBorders>
              <w:top w:val="nil"/>
              <w:left w:val="nil"/>
              <w:bottom w:val="nil"/>
              <w:right w:val="nil"/>
            </w:tcBorders>
            <w:shd w:val="clear" w:color="auto" w:fill="auto"/>
            <w:noWrap/>
            <w:vAlign w:val="center"/>
            <w:hideMark/>
          </w:tcPr>
          <w:p w14:paraId="45CAA287"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85,73</w:t>
            </w:r>
          </w:p>
        </w:tc>
        <w:tc>
          <w:tcPr>
            <w:tcW w:w="114" w:type="pct"/>
            <w:tcBorders>
              <w:top w:val="nil"/>
              <w:left w:val="nil"/>
              <w:bottom w:val="nil"/>
              <w:right w:val="nil"/>
            </w:tcBorders>
            <w:shd w:val="clear" w:color="auto" w:fill="auto"/>
            <w:noWrap/>
            <w:vAlign w:val="center"/>
            <w:hideMark/>
          </w:tcPr>
          <w:p w14:paraId="09C9E3F2" w14:textId="77777777" w:rsidR="00790498" w:rsidRPr="00622114" w:rsidRDefault="00790498" w:rsidP="00622114">
            <w:pPr>
              <w:spacing w:after="0" w:line="360" w:lineRule="auto"/>
              <w:ind w:firstLine="502"/>
              <w:jc w:val="center"/>
              <w:rPr>
                <w:rFonts w:ascii="Times New Roman" w:hAnsi="Times New Roman" w:cs="Times New Roman"/>
                <w:sz w:val="24"/>
                <w:szCs w:val="24"/>
              </w:rPr>
            </w:pPr>
          </w:p>
        </w:tc>
        <w:tc>
          <w:tcPr>
            <w:tcW w:w="1232" w:type="pct"/>
            <w:vMerge/>
            <w:tcBorders>
              <w:top w:val="nil"/>
              <w:left w:val="nil"/>
              <w:right w:val="nil"/>
            </w:tcBorders>
            <w:vAlign w:val="center"/>
            <w:hideMark/>
          </w:tcPr>
          <w:p w14:paraId="213A78A8" w14:textId="77777777" w:rsidR="00790498" w:rsidRPr="00622114" w:rsidRDefault="00790498" w:rsidP="00622114">
            <w:pPr>
              <w:spacing w:after="0" w:line="360" w:lineRule="auto"/>
              <w:ind w:firstLine="502"/>
              <w:rPr>
                <w:rFonts w:ascii="Times New Roman" w:hAnsi="Times New Roman" w:cs="Times New Roman"/>
                <w:sz w:val="24"/>
                <w:szCs w:val="24"/>
              </w:rPr>
            </w:pPr>
          </w:p>
        </w:tc>
        <w:tc>
          <w:tcPr>
            <w:tcW w:w="346" w:type="pct"/>
            <w:tcBorders>
              <w:top w:val="nil"/>
              <w:left w:val="nil"/>
              <w:right w:val="nil"/>
            </w:tcBorders>
            <w:shd w:val="clear" w:color="auto" w:fill="auto"/>
            <w:noWrap/>
            <w:vAlign w:val="center"/>
            <w:hideMark/>
          </w:tcPr>
          <w:p w14:paraId="5B339248"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P02</w:t>
            </w:r>
          </w:p>
        </w:tc>
        <w:tc>
          <w:tcPr>
            <w:tcW w:w="657" w:type="pct"/>
            <w:tcBorders>
              <w:top w:val="nil"/>
              <w:left w:val="nil"/>
              <w:right w:val="nil"/>
            </w:tcBorders>
            <w:shd w:val="clear" w:color="auto" w:fill="auto"/>
            <w:noWrap/>
            <w:vAlign w:val="center"/>
            <w:hideMark/>
          </w:tcPr>
          <w:p w14:paraId="647FB869"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90,44</w:t>
            </w:r>
          </w:p>
        </w:tc>
      </w:tr>
      <w:tr w:rsidR="00622114" w:rsidRPr="00622114" w14:paraId="4852B845" w14:textId="77777777" w:rsidTr="00622114">
        <w:trPr>
          <w:trHeight w:val="300"/>
          <w:jc w:val="center"/>
        </w:trPr>
        <w:tc>
          <w:tcPr>
            <w:tcW w:w="1640" w:type="pct"/>
            <w:vMerge/>
            <w:tcBorders>
              <w:top w:val="nil"/>
              <w:left w:val="nil"/>
              <w:bottom w:val="single" w:sz="4" w:space="0" w:color="000000"/>
              <w:right w:val="nil"/>
            </w:tcBorders>
            <w:vAlign w:val="center"/>
            <w:hideMark/>
          </w:tcPr>
          <w:p w14:paraId="2E05EBE4" w14:textId="77777777" w:rsidR="00790498" w:rsidRPr="00622114" w:rsidRDefault="00790498" w:rsidP="00622114">
            <w:pPr>
              <w:spacing w:after="0" w:line="360" w:lineRule="auto"/>
              <w:ind w:firstLine="502"/>
              <w:rPr>
                <w:rFonts w:ascii="Times New Roman" w:hAnsi="Times New Roman" w:cs="Times New Roman"/>
                <w:sz w:val="24"/>
                <w:szCs w:val="24"/>
              </w:rPr>
            </w:pPr>
          </w:p>
        </w:tc>
        <w:tc>
          <w:tcPr>
            <w:tcW w:w="353" w:type="pct"/>
            <w:tcBorders>
              <w:top w:val="nil"/>
              <w:left w:val="nil"/>
              <w:bottom w:val="single" w:sz="4" w:space="0" w:color="auto"/>
              <w:right w:val="nil"/>
            </w:tcBorders>
            <w:shd w:val="clear" w:color="auto" w:fill="auto"/>
            <w:noWrap/>
            <w:vAlign w:val="center"/>
            <w:hideMark/>
          </w:tcPr>
          <w:p w14:paraId="343765C4"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P02</w:t>
            </w:r>
          </w:p>
        </w:tc>
        <w:tc>
          <w:tcPr>
            <w:tcW w:w="658" w:type="pct"/>
            <w:tcBorders>
              <w:top w:val="nil"/>
              <w:left w:val="nil"/>
              <w:bottom w:val="single" w:sz="4" w:space="0" w:color="auto"/>
              <w:right w:val="nil"/>
            </w:tcBorders>
            <w:shd w:val="clear" w:color="auto" w:fill="auto"/>
            <w:noWrap/>
            <w:vAlign w:val="center"/>
            <w:hideMark/>
          </w:tcPr>
          <w:p w14:paraId="4C47E52C" w14:textId="77777777" w:rsidR="00790498" w:rsidRPr="00622114" w:rsidRDefault="00790498" w:rsidP="00622114">
            <w:pPr>
              <w:spacing w:after="0" w:line="360" w:lineRule="auto"/>
              <w:rPr>
                <w:rFonts w:ascii="Times New Roman" w:hAnsi="Times New Roman" w:cs="Times New Roman"/>
                <w:sz w:val="24"/>
                <w:szCs w:val="24"/>
              </w:rPr>
            </w:pPr>
            <w:r w:rsidRPr="00622114">
              <w:rPr>
                <w:rFonts w:ascii="Times New Roman" w:hAnsi="Times New Roman" w:cs="Times New Roman"/>
                <w:sz w:val="24"/>
                <w:szCs w:val="24"/>
              </w:rPr>
              <w:t>86,11</w:t>
            </w:r>
          </w:p>
        </w:tc>
        <w:tc>
          <w:tcPr>
            <w:tcW w:w="114" w:type="pct"/>
            <w:tcBorders>
              <w:top w:val="nil"/>
              <w:left w:val="nil"/>
              <w:bottom w:val="single" w:sz="4" w:space="0" w:color="auto"/>
              <w:right w:val="nil"/>
            </w:tcBorders>
            <w:shd w:val="clear" w:color="auto" w:fill="auto"/>
            <w:noWrap/>
            <w:vAlign w:val="center"/>
            <w:hideMark/>
          </w:tcPr>
          <w:p w14:paraId="7D2FA212" w14:textId="48C6425D" w:rsidR="00790498" w:rsidRPr="00622114" w:rsidRDefault="00790498" w:rsidP="00622114">
            <w:pPr>
              <w:spacing w:after="0" w:line="360" w:lineRule="auto"/>
              <w:ind w:firstLine="502"/>
              <w:jc w:val="center"/>
              <w:rPr>
                <w:rFonts w:ascii="Times New Roman" w:hAnsi="Times New Roman" w:cs="Times New Roman"/>
                <w:sz w:val="24"/>
                <w:szCs w:val="24"/>
              </w:rPr>
            </w:pPr>
          </w:p>
        </w:tc>
        <w:tc>
          <w:tcPr>
            <w:tcW w:w="1232" w:type="pct"/>
            <w:tcBorders>
              <w:left w:val="nil"/>
              <w:bottom w:val="single" w:sz="4" w:space="0" w:color="auto"/>
              <w:right w:val="nil"/>
            </w:tcBorders>
            <w:shd w:val="clear" w:color="auto" w:fill="auto"/>
            <w:noWrap/>
            <w:vAlign w:val="center"/>
            <w:hideMark/>
          </w:tcPr>
          <w:p w14:paraId="27698B9F" w14:textId="78ECD1DB" w:rsidR="00790498" w:rsidRPr="00622114" w:rsidRDefault="00790498" w:rsidP="00622114">
            <w:pPr>
              <w:spacing w:after="0" w:line="360" w:lineRule="auto"/>
              <w:ind w:firstLine="502"/>
              <w:rPr>
                <w:rFonts w:ascii="Times New Roman" w:hAnsi="Times New Roman" w:cs="Times New Roman"/>
                <w:sz w:val="24"/>
                <w:szCs w:val="24"/>
              </w:rPr>
            </w:pPr>
          </w:p>
        </w:tc>
        <w:tc>
          <w:tcPr>
            <w:tcW w:w="346" w:type="pct"/>
            <w:tcBorders>
              <w:left w:val="nil"/>
              <w:bottom w:val="single" w:sz="4" w:space="0" w:color="auto"/>
              <w:right w:val="nil"/>
            </w:tcBorders>
            <w:shd w:val="clear" w:color="auto" w:fill="auto"/>
            <w:noWrap/>
            <w:vAlign w:val="center"/>
            <w:hideMark/>
          </w:tcPr>
          <w:p w14:paraId="171E08A3" w14:textId="303BCA3A" w:rsidR="00790498" w:rsidRPr="00622114" w:rsidRDefault="00790498" w:rsidP="00622114">
            <w:pPr>
              <w:spacing w:after="0" w:line="360" w:lineRule="auto"/>
              <w:ind w:firstLine="502"/>
              <w:jc w:val="center"/>
              <w:rPr>
                <w:rFonts w:ascii="Times New Roman" w:hAnsi="Times New Roman" w:cs="Times New Roman"/>
                <w:sz w:val="24"/>
                <w:szCs w:val="24"/>
              </w:rPr>
            </w:pPr>
          </w:p>
        </w:tc>
        <w:tc>
          <w:tcPr>
            <w:tcW w:w="657" w:type="pct"/>
            <w:tcBorders>
              <w:left w:val="nil"/>
              <w:bottom w:val="single" w:sz="4" w:space="0" w:color="auto"/>
              <w:right w:val="nil"/>
            </w:tcBorders>
            <w:shd w:val="clear" w:color="auto" w:fill="auto"/>
            <w:noWrap/>
            <w:vAlign w:val="center"/>
            <w:hideMark/>
          </w:tcPr>
          <w:p w14:paraId="763E1FB1" w14:textId="00C9DCBB" w:rsidR="00790498" w:rsidRPr="00622114" w:rsidRDefault="00790498" w:rsidP="00622114">
            <w:pPr>
              <w:spacing w:after="0" w:line="360" w:lineRule="auto"/>
              <w:ind w:firstLine="502"/>
              <w:jc w:val="center"/>
              <w:rPr>
                <w:rFonts w:ascii="Times New Roman" w:hAnsi="Times New Roman" w:cs="Times New Roman"/>
                <w:sz w:val="24"/>
                <w:szCs w:val="24"/>
              </w:rPr>
            </w:pPr>
          </w:p>
        </w:tc>
      </w:tr>
    </w:tbl>
    <w:p w14:paraId="2874095B" w14:textId="77777777" w:rsidR="00790498" w:rsidRPr="00622114" w:rsidRDefault="00790498" w:rsidP="00622114">
      <w:pPr>
        <w:spacing w:line="360" w:lineRule="auto"/>
        <w:ind w:firstLine="502"/>
        <w:jc w:val="both"/>
        <w:rPr>
          <w:rFonts w:ascii="Times New Roman" w:hAnsi="Times New Roman" w:cs="Times New Roman"/>
          <w:sz w:val="24"/>
          <w:szCs w:val="24"/>
        </w:rPr>
      </w:pPr>
    </w:p>
    <w:p w14:paraId="0697BD2E" w14:textId="77777777"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sz w:val="24"/>
          <w:szCs w:val="24"/>
        </w:rPr>
        <w:br w:type="page"/>
      </w:r>
    </w:p>
    <w:p w14:paraId="06414E61" w14:textId="77777777"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sz w:val="24"/>
          <w:szCs w:val="24"/>
        </w:rPr>
        <w:lastRenderedPageBreak/>
        <w:t>A uniformidade de distribuição de água nos equipamentos de irrigação no ATP foi extensivamente analisada, revelando valores de CUCCE variando de 79,39% a 98,20%, com uma média de 94,96 ± 3,67%. Foi estabelecido um limiar de 95% de CUCCE para demarcar uma distribuição considerada adequada. Segundo este critério, 65 equipamentos foram classificados como tendo uma distribuição adequada, enquanto 29 foram considerados inadequados, conforme visualizado na Figura 5.</w:t>
      </w:r>
    </w:p>
    <w:p w14:paraId="1268895A" w14:textId="77777777" w:rsidR="00790498" w:rsidRPr="00622114" w:rsidRDefault="00790498" w:rsidP="00622114">
      <w:pPr>
        <w:spacing w:line="360" w:lineRule="auto"/>
        <w:ind w:firstLine="502"/>
        <w:jc w:val="both"/>
        <w:rPr>
          <w:rFonts w:ascii="Times New Roman" w:hAnsi="Times New Roman" w:cs="Times New Roman"/>
          <w:sz w:val="24"/>
          <w:szCs w:val="24"/>
        </w:rPr>
      </w:pPr>
    </w:p>
    <w:p w14:paraId="4F69F851" w14:textId="77777777"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noProof/>
          <w:sz w:val="24"/>
          <w:szCs w:val="24"/>
        </w:rPr>
        <w:drawing>
          <wp:inline distT="0" distB="0" distL="0" distR="0" wp14:anchorId="5D161A0D" wp14:editId="33F23CB1">
            <wp:extent cx="5760720" cy="2880360"/>
            <wp:effectExtent l="0" t="0" r="0" b="0"/>
            <wp:docPr id="105613803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38039" name="Imagem 105613803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2F68253A" w14:textId="7C4C461E"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b/>
          <w:bCs/>
          <w:sz w:val="24"/>
          <w:szCs w:val="24"/>
        </w:rPr>
        <w:t xml:space="preserve">Figura </w:t>
      </w:r>
      <w:r w:rsidRPr="00622114">
        <w:rPr>
          <w:rFonts w:ascii="Times New Roman" w:hAnsi="Times New Roman" w:cs="Times New Roman"/>
          <w:b/>
          <w:bCs/>
          <w:sz w:val="24"/>
          <w:szCs w:val="24"/>
        </w:rPr>
        <w:fldChar w:fldCharType="begin"/>
      </w:r>
      <w:r w:rsidRPr="00622114">
        <w:rPr>
          <w:rFonts w:ascii="Times New Roman" w:hAnsi="Times New Roman" w:cs="Times New Roman"/>
          <w:b/>
          <w:bCs/>
          <w:sz w:val="24"/>
          <w:szCs w:val="24"/>
        </w:rPr>
        <w:instrText xml:space="preserve"> SEQ Figure \* ARABIC </w:instrText>
      </w:r>
      <w:r w:rsidRPr="00622114">
        <w:rPr>
          <w:rFonts w:ascii="Times New Roman" w:hAnsi="Times New Roman" w:cs="Times New Roman"/>
          <w:b/>
          <w:bCs/>
          <w:sz w:val="24"/>
          <w:szCs w:val="24"/>
        </w:rPr>
        <w:fldChar w:fldCharType="separate"/>
      </w:r>
      <w:r w:rsidR="009B2B78">
        <w:rPr>
          <w:rFonts w:ascii="Times New Roman" w:hAnsi="Times New Roman" w:cs="Times New Roman"/>
          <w:b/>
          <w:bCs/>
          <w:noProof/>
          <w:sz w:val="24"/>
          <w:szCs w:val="24"/>
        </w:rPr>
        <w:t>5</w:t>
      </w:r>
      <w:r w:rsidRPr="00622114">
        <w:rPr>
          <w:rFonts w:ascii="Times New Roman" w:hAnsi="Times New Roman" w:cs="Times New Roman"/>
          <w:b/>
          <w:bCs/>
          <w:sz w:val="24"/>
          <w:szCs w:val="24"/>
        </w:rPr>
        <w:fldChar w:fldCharType="end"/>
      </w:r>
      <w:r w:rsidRPr="00622114">
        <w:rPr>
          <w:rFonts w:ascii="Times New Roman" w:hAnsi="Times New Roman" w:cs="Times New Roman"/>
          <w:sz w:val="24"/>
          <w:szCs w:val="24"/>
        </w:rPr>
        <w:t xml:space="preserve"> – A esquerda, distribuição dos valores de Coeficiente de Uniformidade de Christiansen via carta de aspersão (CUCCE, %) entre os equipamentos do ATP, destacando a linha de limiar em 95% que separa classificações de uniformidade potencialmente adequadas (acima da linha) de inadequadas abaixo da linha). À direita, dispersão dos valores de CUCCE por ano de implantação, indicando a ausência de tendência ou padrão ao longo do tempo.</w:t>
      </w:r>
    </w:p>
    <w:p w14:paraId="4968E7D4" w14:textId="77777777" w:rsidR="00790498" w:rsidRPr="00622114" w:rsidRDefault="00790498" w:rsidP="00622114">
      <w:pPr>
        <w:spacing w:line="360" w:lineRule="auto"/>
        <w:ind w:firstLine="502"/>
        <w:jc w:val="both"/>
        <w:rPr>
          <w:rFonts w:ascii="Times New Roman" w:hAnsi="Times New Roman" w:cs="Times New Roman"/>
          <w:sz w:val="24"/>
          <w:szCs w:val="24"/>
        </w:rPr>
      </w:pPr>
    </w:p>
    <w:p w14:paraId="58928DF9" w14:textId="77777777"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sz w:val="24"/>
          <w:szCs w:val="24"/>
        </w:rPr>
        <w:t xml:space="preserve">Uma análise adicional não encontrou correlação estatisticamente significativa entre o CUCCE e o ano de implantação dos equipamentos (α = 0,05) no ATP. Esta falta de correlação sugere que a idade dos equipamentos, por si só, não é um determinante crítico da eficiência da distribuição de água. Em vez disso, práticas de manutenção adequadas parecem desempenhar um papel mais crucial na preservação ou no aprimoramento da uniformidade de distribuição. Esta observação sublinha a importância de implementar programas de manutenção regulares e </w:t>
      </w:r>
      <w:r w:rsidRPr="00622114">
        <w:rPr>
          <w:rFonts w:ascii="Times New Roman" w:hAnsi="Times New Roman" w:cs="Times New Roman"/>
          <w:sz w:val="24"/>
          <w:szCs w:val="24"/>
        </w:rPr>
        <w:lastRenderedPageBreak/>
        <w:t>eficazes, que podem ser mais impactantes do que a renovação de equipamentos baseada apenas na idade.</w:t>
      </w:r>
    </w:p>
    <w:p w14:paraId="095D811F" w14:textId="77777777"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sz w:val="24"/>
          <w:szCs w:val="24"/>
        </w:rPr>
        <w:t>A Tabela 2 detalha o CUCCE para cada equipamento avaliado no ATP, fornecendo uma visão ampla dos resultados individuais e reforçando a compreensão dos níveis de uniformidade alcançados em várias fazendas do polo. Esta tabela serve como uma ferramenta essencial para identificar especificamente quais sistemas podem requerer atenção imediata ou ajustes nas práticas de manutenção.</w:t>
      </w:r>
      <w:r w:rsidRPr="00622114">
        <w:rPr>
          <w:rFonts w:ascii="Times New Roman" w:hAnsi="Times New Roman" w:cs="Times New Roman"/>
          <w:sz w:val="24"/>
          <w:szCs w:val="24"/>
        </w:rPr>
        <w:br w:type="page"/>
      </w:r>
    </w:p>
    <w:p w14:paraId="632F38CF" w14:textId="42FDBDDB" w:rsidR="00790498" w:rsidRPr="00622114" w:rsidRDefault="00790498" w:rsidP="00622114">
      <w:pPr>
        <w:spacing w:line="360" w:lineRule="auto"/>
        <w:ind w:firstLine="502"/>
        <w:jc w:val="both"/>
        <w:rPr>
          <w:rFonts w:ascii="Times New Roman" w:hAnsi="Times New Roman" w:cs="Times New Roman"/>
          <w:sz w:val="24"/>
          <w:szCs w:val="24"/>
        </w:rPr>
      </w:pPr>
      <w:bookmarkStart w:id="1" w:name="_Toc75853545"/>
      <w:r w:rsidRPr="00520B89">
        <w:rPr>
          <w:rFonts w:ascii="Times New Roman" w:hAnsi="Times New Roman" w:cs="Times New Roman"/>
          <w:b/>
          <w:bCs/>
          <w:sz w:val="24"/>
          <w:szCs w:val="24"/>
        </w:rPr>
        <w:lastRenderedPageBreak/>
        <w:t xml:space="preserve">Tabela </w:t>
      </w:r>
      <w:r w:rsidRPr="00520B89">
        <w:rPr>
          <w:rFonts w:ascii="Times New Roman" w:hAnsi="Times New Roman" w:cs="Times New Roman"/>
          <w:b/>
          <w:bCs/>
          <w:sz w:val="24"/>
          <w:szCs w:val="24"/>
        </w:rPr>
        <w:fldChar w:fldCharType="begin"/>
      </w:r>
      <w:r w:rsidRPr="00520B89">
        <w:rPr>
          <w:rFonts w:ascii="Times New Roman" w:hAnsi="Times New Roman" w:cs="Times New Roman"/>
          <w:b/>
          <w:bCs/>
          <w:sz w:val="24"/>
          <w:szCs w:val="24"/>
        </w:rPr>
        <w:instrText xml:space="preserve"> SEQ Table \* ARABIC </w:instrText>
      </w:r>
      <w:r w:rsidRPr="00520B89">
        <w:rPr>
          <w:rFonts w:ascii="Times New Roman" w:hAnsi="Times New Roman" w:cs="Times New Roman"/>
          <w:b/>
          <w:bCs/>
          <w:sz w:val="24"/>
          <w:szCs w:val="24"/>
        </w:rPr>
        <w:fldChar w:fldCharType="separate"/>
      </w:r>
      <w:r w:rsidR="009B2B78">
        <w:rPr>
          <w:rFonts w:ascii="Times New Roman" w:hAnsi="Times New Roman" w:cs="Times New Roman"/>
          <w:b/>
          <w:bCs/>
          <w:noProof/>
          <w:sz w:val="24"/>
          <w:szCs w:val="24"/>
        </w:rPr>
        <w:t>2</w:t>
      </w:r>
      <w:r w:rsidRPr="00520B89">
        <w:rPr>
          <w:rFonts w:ascii="Times New Roman" w:hAnsi="Times New Roman" w:cs="Times New Roman"/>
          <w:b/>
          <w:bCs/>
          <w:sz w:val="24"/>
          <w:szCs w:val="24"/>
        </w:rPr>
        <w:fldChar w:fldCharType="end"/>
      </w:r>
      <w:bookmarkEnd w:id="1"/>
      <w:r w:rsidRPr="00622114">
        <w:rPr>
          <w:rFonts w:ascii="Times New Roman" w:hAnsi="Times New Roman" w:cs="Times New Roman"/>
          <w:sz w:val="24"/>
          <w:szCs w:val="24"/>
        </w:rPr>
        <w:t xml:space="preserve"> – Coeficiente de Uniformidade de Christiansen via carta de aspersão (CUCCE, %) para cada equipamento avaliado no ATP.</w:t>
      </w:r>
    </w:p>
    <w:tbl>
      <w:tblPr>
        <w:tblW w:w="0" w:type="auto"/>
        <w:tblCellMar>
          <w:left w:w="70" w:type="dxa"/>
          <w:right w:w="70" w:type="dxa"/>
        </w:tblCellMar>
        <w:tblLook w:val="04A0" w:firstRow="1" w:lastRow="0" w:firstColumn="1" w:lastColumn="0" w:noHBand="0" w:noVBand="1"/>
      </w:tblPr>
      <w:tblGrid>
        <w:gridCol w:w="940"/>
        <w:gridCol w:w="581"/>
        <w:gridCol w:w="1360"/>
        <w:gridCol w:w="146"/>
        <w:gridCol w:w="940"/>
        <w:gridCol w:w="581"/>
        <w:gridCol w:w="1360"/>
        <w:gridCol w:w="146"/>
        <w:gridCol w:w="940"/>
        <w:gridCol w:w="581"/>
        <w:gridCol w:w="1360"/>
      </w:tblGrid>
      <w:tr w:rsidR="00520B89" w:rsidRPr="00520B89" w14:paraId="5D1997E2" w14:textId="77777777" w:rsidTr="00520B89">
        <w:trPr>
          <w:trHeight w:val="288"/>
        </w:trPr>
        <w:tc>
          <w:tcPr>
            <w:tcW w:w="0" w:type="auto"/>
            <w:tcBorders>
              <w:top w:val="single" w:sz="4" w:space="0" w:color="auto"/>
              <w:left w:val="nil"/>
              <w:bottom w:val="single" w:sz="4" w:space="0" w:color="auto"/>
              <w:right w:val="nil"/>
            </w:tcBorders>
            <w:shd w:val="clear" w:color="auto" w:fill="auto"/>
            <w:noWrap/>
            <w:vAlign w:val="center"/>
            <w:hideMark/>
          </w:tcPr>
          <w:p w14:paraId="25A34008"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Fazenda</w:t>
            </w:r>
          </w:p>
        </w:tc>
        <w:tc>
          <w:tcPr>
            <w:tcW w:w="0" w:type="auto"/>
            <w:tcBorders>
              <w:top w:val="single" w:sz="4" w:space="0" w:color="auto"/>
              <w:left w:val="nil"/>
              <w:bottom w:val="single" w:sz="4" w:space="0" w:color="auto"/>
              <w:right w:val="nil"/>
            </w:tcBorders>
            <w:shd w:val="clear" w:color="auto" w:fill="auto"/>
            <w:noWrap/>
            <w:vAlign w:val="center"/>
            <w:hideMark/>
          </w:tcPr>
          <w:p w14:paraId="02DC3CCA"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Pivô</w:t>
            </w:r>
          </w:p>
        </w:tc>
        <w:tc>
          <w:tcPr>
            <w:tcW w:w="0" w:type="auto"/>
            <w:tcBorders>
              <w:top w:val="single" w:sz="4" w:space="0" w:color="auto"/>
              <w:left w:val="nil"/>
              <w:bottom w:val="single" w:sz="4" w:space="0" w:color="auto"/>
              <w:right w:val="nil"/>
            </w:tcBorders>
            <w:shd w:val="clear" w:color="auto" w:fill="auto"/>
            <w:noWrap/>
            <w:vAlign w:val="center"/>
            <w:hideMark/>
          </w:tcPr>
          <w:p w14:paraId="5614C89B"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CUCCE (%)</w:t>
            </w:r>
          </w:p>
        </w:tc>
        <w:tc>
          <w:tcPr>
            <w:tcW w:w="0" w:type="auto"/>
            <w:tcBorders>
              <w:top w:val="single" w:sz="4" w:space="0" w:color="auto"/>
              <w:left w:val="nil"/>
              <w:bottom w:val="nil"/>
              <w:right w:val="nil"/>
            </w:tcBorders>
            <w:shd w:val="clear" w:color="auto" w:fill="auto"/>
            <w:noWrap/>
            <w:vAlign w:val="center"/>
            <w:hideMark/>
          </w:tcPr>
          <w:p w14:paraId="7660B720"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single" w:sz="4" w:space="0" w:color="auto"/>
              <w:left w:val="nil"/>
              <w:bottom w:val="single" w:sz="4" w:space="0" w:color="auto"/>
              <w:right w:val="nil"/>
            </w:tcBorders>
            <w:shd w:val="clear" w:color="auto" w:fill="auto"/>
            <w:noWrap/>
            <w:vAlign w:val="center"/>
            <w:hideMark/>
          </w:tcPr>
          <w:p w14:paraId="775E4F24"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Fazenda</w:t>
            </w:r>
          </w:p>
        </w:tc>
        <w:tc>
          <w:tcPr>
            <w:tcW w:w="0" w:type="auto"/>
            <w:tcBorders>
              <w:top w:val="single" w:sz="4" w:space="0" w:color="auto"/>
              <w:left w:val="nil"/>
              <w:bottom w:val="single" w:sz="4" w:space="0" w:color="auto"/>
              <w:right w:val="nil"/>
            </w:tcBorders>
            <w:shd w:val="clear" w:color="auto" w:fill="auto"/>
            <w:noWrap/>
            <w:vAlign w:val="center"/>
            <w:hideMark/>
          </w:tcPr>
          <w:p w14:paraId="780F167B"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Pivô</w:t>
            </w:r>
          </w:p>
        </w:tc>
        <w:tc>
          <w:tcPr>
            <w:tcW w:w="0" w:type="auto"/>
            <w:tcBorders>
              <w:top w:val="single" w:sz="4" w:space="0" w:color="auto"/>
              <w:left w:val="nil"/>
              <w:bottom w:val="single" w:sz="4" w:space="0" w:color="auto"/>
              <w:right w:val="nil"/>
            </w:tcBorders>
            <w:shd w:val="clear" w:color="auto" w:fill="auto"/>
            <w:noWrap/>
            <w:vAlign w:val="center"/>
            <w:hideMark/>
          </w:tcPr>
          <w:p w14:paraId="75DE5701"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CUCCE (%)</w:t>
            </w:r>
          </w:p>
        </w:tc>
        <w:tc>
          <w:tcPr>
            <w:tcW w:w="0" w:type="auto"/>
            <w:tcBorders>
              <w:top w:val="single" w:sz="4" w:space="0" w:color="auto"/>
              <w:left w:val="nil"/>
              <w:bottom w:val="nil"/>
              <w:right w:val="nil"/>
            </w:tcBorders>
            <w:shd w:val="clear" w:color="auto" w:fill="auto"/>
            <w:noWrap/>
            <w:vAlign w:val="center"/>
            <w:hideMark/>
          </w:tcPr>
          <w:p w14:paraId="6DBCB7F9"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single" w:sz="4" w:space="0" w:color="auto"/>
              <w:left w:val="nil"/>
              <w:bottom w:val="single" w:sz="4" w:space="0" w:color="auto"/>
              <w:right w:val="nil"/>
            </w:tcBorders>
            <w:shd w:val="clear" w:color="auto" w:fill="auto"/>
            <w:noWrap/>
            <w:vAlign w:val="center"/>
            <w:hideMark/>
          </w:tcPr>
          <w:p w14:paraId="7BEAB9F9"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Fazenda</w:t>
            </w:r>
          </w:p>
        </w:tc>
        <w:tc>
          <w:tcPr>
            <w:tcW w:w="0" w:type="auto"/>
            <w:tcBorders>
              <w:top w:val="single" w:sz="4" w:space="0" w:color="auto"/>
              <w:left w:val="nil"/>
              <w:bottom w:val="single" w:sz="4" w:space="0" w:color="auto"/>
              <w:right w:val="nil"/>
            </w:tcBorders>
            <w:shd w:val="clear" w:color="auto" w:fill="auto"/>
            <w:noWrap/>
            <w:vAlign w:val="center"/>
            <w:hideMark/>
          </w:tcPr>
          <w:p w14:paraId="76ED82A9"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Pivô</w:t>
            </w:r>
          </w:p>
        </w:tc>
        <w:tc>
          <w:tcPr>
            <w:tcW w:w="0" w:type="auto"/>
            <w:tcBorders>
              <w:top w:val="single" w:sz="4" w:space="0" w:color="auto"/>
              <w:left w:val="nil"/>
              <w:bottom w:val="single" w:sz="4" w:space="0" w:color="auto"/>
              <w:right w:val="nil"/>
            </w:tcBorders>
            <w:shd w:val="clear" w:color="auto" w:fill="auto"/>
            <w:noWrap/>
            <w:vAlign w:val="center"/>
            <w:hideMark/>
          </w:tcPr>
          <w:p w14:paraId="10BA7B51"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CUCCE (%)</w:t>
            </w:r>
          </w:p>
        </w:tc>
      </w:tr>
      <w:tr w:rsidR="00520B89" w:rsidRPr="00520B89" w14:paraId="6FBE145B" w14:textId="77777777" w:rsidTr="00520B89">
        <w:trPr>
          <w:trHeight w:val="288"/>
        </w:trPr>
        <w:tc>
          <w:tcPr>
            <w:tcW w:w="0" w:type="auto"/>
            <w:tcBorders>
              <w:top w:val="nil"/>
              <w:left w:val="nil"/>
              <w:bottom w:val="nil"/>
              <w:right w:val="nil"/>
            </w:tcBorders>
            <w:shd w:val="clear" w:color="auto" w:fill="auto"/>
            <w:noWrap/>
            <w:vAlign w:val="center"/>
            <w:hideMark/>
          </w:tcPr>
          <w:p w14:paraId="39E4A18D"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CPL</w:t>
            </w:r>
          </w:p>
        </w:tc>
        <w:tc>
          <w:tcPr>
            <w:tcW w:w="0" w:type="auto"/>
            <w:tcBorders>
              <w:top w:val="nil"/>
              <w:left w:val="nil"/>
              <w:bottom w:val="nil"/>
              <w:right w:val="nil"/>
            </w:tcBorders>
            <w:shd w:val="clear" w:color="auto" w:fill="auto"/>
            <w:noWrap/>
            <w:vAlign w:val="center"/>
            <w:hideMark/>
          </w:tcPr>
          <w:p w14:paraId="13168002"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P01</w:t>
            </w:r>
          </w:p>
        </w:tc>
        <w:tc>
          <w:tcPr>
            <w:tcW w:w="0" w:type="auto"/>
            <w:tcBorders>
              <w:top w:val="nil"/>
              <w:left w:val="nil"/>
              <w:bottom w:val="nil"/>
              <w:right w:val="nil"/>
            </w:tcBorders>
            <w:shd w:val="clear" w:color="auto" w:fill="auto"/>
            <w:noWrap/>
            <w:vAlign w:val="center"/>
            <w:hideMark/>
          </w:tcPr>
          <w:p w14:paraId="613981C6"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97,93</w:t>
            </w:r>
          </w:p>
        </w:tc>
        <w:tc>
          <w:tcPr>
            <w:tcW w:w="0" w:type="auto"/>
            <w:tcBorders>
              <w:top w:val="nil"/>
              <w:left w:val="nil"/>
              <w:bottom w:val="nil"/>
              <w:right w:val="nil"/>
            </w:tcBorders>
            <w:shd w:val="clear" w:color="auto" w:fill="auto"/>
            <w:noWrap/>
            <w:vAlign w:val="center"/>
            <w:hideMark/>
          </w:tcPr>
          <w:p w14:paraId="763479D8"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56334968"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JCN</w:t>
            </w:r>
          </w:p>
        </w:tc>
        <w:tc>
          <w:tcPr>
            <w:tcW w:w="0" w:type="auto"/>
            <w:tcBorders>
              <w:top w:val="nil"/>
              <w:left w:val="nil"/>
              <w:bottom w:val="nil"/>
              <w:right w:val="nil"/>
            </w:tcBorders>
            <w:shd w:val="clear" w:color="auto" w:fill="auto"/>
            <w:noWrap/>
            <w:vAlign w:val="center"/>
            <w:hideMark/>
          </w:tcPr>
          <w:p w14:paraId="0893F107"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P05</w:t>
            </w:r>
          </w:p>
        </w:tc>
        <w:tc>
          <w:tcPr>
            <w:tcW w:w="0" w:type="auto"/>
            <w:tcBorders>
              <w:top w:val="nil"/>
              <w:left w:val="nil"/>
              <w:bottom w:val="nil"/>
              <w:right w:val="nil"/>
            </w:tcBorders>
            <w:shd w:val="clear" w:color="auto" w:fill="auto"/>
            <w:noWrap/>
            <w:vAlign w:val="center"/>
            <w:hideMark/>
          </w:tcPr>
          <w:p w14:paraId="2E924FA5"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93,04</w:t>
            </w:r>
          </w:p>
        </w:tc>
        <w:tc>
          <w:tcPr>
            <w:tcW w:w="0" w:type="auto"/>
            <w:tcBorders>
              <w:top w:val="nil"/>
              <w:left w:val="nil"/>
              <w:bottom w:val="nil"/>
              <w:right w:val="nil"/>
            </w:tcBorders>
            <w:shd w:val="clear" w:color="auto" w:fill="auto"/>
            <w:noWrap/>
            <w:vAlign w:val="center"/>
            <w:hideMark/>
          </w:tcPr>
          <w:p w14:paraId="3E0625F6"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single" w:sz="4" w:space="0" w:color="auto"/>
              <w:right w:val="nil"/>
            </w:tcBorders>
            <w:shd w:val="clear" w:color="auto" w:fill="auto"/>
            <w:noWrap/>
            <w:vAlign w:val="center"/>
            <w:hideMark/>
          </w:tcPr>
          <w:p w14:paraId="0CEB30FA"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GRI</w:t>
            </w:r>
          </w:p>
        </w:tc>
        <w:tc>
          <w:tcPr>
            <w:tcW w:w="0" w:type="auto"/>
            <w:tcBorders>
              <w:top w:val="nil"/>
              <w:left w:val="nil"/>
              <w:bottom w:val="single" w:sz="4" w:space="0" w:color="auto"/>
              <w:right w:val="nil"/>
            </w:tcBorders>
            <w:shd w:val="clear" w:color="auto" w:fill="auto"/>
            <w:noWrap/>
            <w:vAlign w:val="center"/>
            <w:hideMark/>
          </w:tcPr>
          <w:p w14:paraId="35C29BCC"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P03</w:t>
            </w:r>
          </w:p>
        </w:tc>
        <w:tc>
          <w:tcPr>
            <w:tcW w:w="0" w:type="auto"/>
            <w:tcBorders>
              <w:top w:val="nil"/>
              <w:left w:val="nil"/>
              <w:bottom w:val="single" w:sz="4" w:space="0" w:color="auto"/>
              <w:right w:val="nil"/>
            </w:tcBorders>
            <w:shd w:val="clear" w:color="auto" w:fill="auto"/>
            <w:noWrap/>
            <w:vAlign w:val="center"/>
            <w:hideMark/>
          </w:tcPr>
          <w:p w14:paraId="05DFA4B3"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96,01</w:t>
            </w:r>
          </w:p>
        </w:tc>
      </w:tr>
      <w:tr w:rsidR="00520B89" w:rsidRPr="00520B89" w14:paraId="092F137F" w14:textId="77777777" w:rsidTr="00520B89">
        <w:trPr>
          <w:trHeight w:val="288"/>
        </w:trPr>
        <w:tc>
          <w:tcPr>
            <w:tcW w:w="0" w:type="auto"/>
            <w:tcBorders>
              <w:top w:val="nil"/>
              <w:left w:val="nil"/>
              <w:bottom w:val="nil"/>
              <w:right w:val="nil"/>
            </w:tcBorders>
            <w:shd w:val="clear" w:color="auto" w:fill="auto"/>
            <w:noWrap/>
            <w:vAlign w:val="center"/>
            <w:hideMark/>
          </w:tcPr>
          <w:p w14:paraId="6A1FE323"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CPL</w:t>
            </w:r>
          </w:p>
        </w:tc>
        <w:tc>
          <w:tcPr>
            <w:tcW w:w="0" w:type="auto"/>
            <w:tcBorders>
              <w:top w:val="nil"/>
              <w:left w:val="nil"/>
              <w:bottom w:val="nil"/>
              <w:right w:val="nil"/>
            </w:tcBorders>
            <w:shd w:val="clear" w:color="auto" w:fill="auto"/>
            <w:noWrap/>
            <w:vAlign w:val="center"/>
            <w:hideMark/>
          </w:tcPr>
          <w:p w14:paraId="6459AE1F"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P02</w:t>
            </w:r>
          </w:p>
        </w:tc>
        <w:tc>
          <w:tcPr>
            <w:tcW w:w="0" w:type="auto"/>
            <w:tcBorders>
              <w:top w:val="nil"/>
              <w:left w:val="nil"/>
              <w:bottom w:val="nil"/>
              <w:right w:val="nil"/>
            </w:tcBorders>
            <w:shd w:val="clear" w:color="auto" w:fill="auto"/>
            <w:noWrap/>
            <w:vAlign w:val="center"/>
            <w:hideMark/>
          </w:tcPr>
          <w:p w14:paraId="5F79D77E"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94,08</w:t>
            </w:r>
          </w:p>
        </w:tc>
        <w:tc>
          <w:tcPr>
            <w:tcW w:w="0" w:type="auto"/>
            <w:tcBorders>
              <w:top w:val="nil"/>
              <w:left w:val="nil"/>
              <w:bottom w:val="nil"/>
              <w:right w:val="nil"/>
            </w:tcBorders>
            <w:shd w:val="clear" w:color="auto" w:fill="auto"/>
            <w:noWrap/>
            <w:vAlign w:val="center"/>
            <w:hideMark/>
          </w:tcPr>
          <w:p w14:paraId="604CDCC1"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7FBDCC19"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JCN</w:t>
            </w:r>
          </w:p>
        </w:tc>
        <w:tc>
          <w:tcPr>
            <w:tcW w:w="0" w:type="auto"/>
            <w:tcBorders>
              <w:top w:val="nil"/>
              <w:left w:val="nil"/>
              <w:bottom w:val="nil"/>
              <w:right w:val="nil"/>
            </w:tcBorders>
            <w:shd w:val="clear" w:color="auto" w:fill="auto"/>
            <w:noWrap/>
            <w:vAlign w:val="center"/>
            <w:hideMark/>
          </w:tcPr>
          <w:p w14:paraId="2F4BE22E"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P06</w:t>
            </w:r>
          </w:p>
        </w:tc>
        <w:tc>
          <w:tcPr>
            <w:tcW w:w="0" w:type="auto"/>
            <w:tcBorders>
              <w:top w:val="nil"/>
              <w:left w:val="nil"/>
              <w:bottom w:val="nil"/>
              <w:right w:val="nil"/>
            </w:tcBorders>
            <w:shd w:val="clear" w:color="auto" w:fill="auto"/>
            <w:noWrap/>
            <w:vAlign w:val="center"/>
            <w:hideMark/>
          </w:tcPr>
          <w:p w14:paraId="0D30C55F"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96,16</w:t>
            </w:r>
          </w:p>
        </w:tc>
        <w:tc>
          <w:tcPr>
            <w:tcW w:w="0" w:type="auto"/>
            <w:tcBorders>
              <w:top w:val="nil"/>
              <w:left w:val="nil"/>
              <w:bottom w:val="nil"/>
              <w:right w:val="nil"/>
            </w:tcBorders>
            <w:shd w:val="clear" w:color="auto" w:fill="auto"/>
            <w:noWrap/>
            <w:vAlign w:val="center"/>
            <w:hideMark/>
          </w:tcPr>
          <w:p w14:paraId="23108C01"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single" w:sz="4" w:space="0" w:color="auto"/>
              <w:right w:val="nil"/>
            </w:tcBorders>
            <w:shd w:val="clear" w:color="auto" w:fill="auto"/>
            <w:noWrap/>
            <w:vAlign w:val="center"/>
            <w:hideMark/>
          </w:tcPr>
          <w:p w14:paraId="4CD7C892"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FCO</w:t>
            </w:r>
          </w:p>
        </w:tc>
        <w:tc>
          <w:tcPr>
            <w:tcW w:w="0" w:type="auto"/>
            <w:tcBorders>
              <w:top w:val="nil"/>
              <w:left w:val="nil"/>
              <w:bottom w:val="single" w:sz="4" w:space="0" w:color="auto"/>
              <w:right w:val="nil"/>
            </w:tcBorders>
            <w:shd w:val="clear" w:color="auto" w:fill="auto"/>
            <w:noWrap/>
            <w:vAlign w:val="center"/>
            <w:hideMark/>
          </w:tcPr>
          <w:p w14:paraId="0D366A73"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P01</w:t>
            </w:r>
          </w:p>
        </w:tc>
        <w:tc>
          <w:tcPr>
            <w:tcW w:w="0" w:type="auto"/>
            <w:tcBorders>
              <w:top w:val="nil"/>
              <w:left w:val="nil"/>
              <w:bottom w:val="single" w:sz="4" w:space="0" w:color="auto"/>
              <w:right w:val="nil"/>
            </w:tcBorders>
            <w:shd w:val="clear" w:color="auto" w:fill="auto"/>
            <w:noWrap/>
            <w:vAlign w:val="center"/>
            <w:hideMark/>
          </w:tcPr>
          <w:p w14:paraId="7B9E7658"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94,83</w:t>
            </w:r>
          </w:p>
        </w:tc>
      </w:tr>
      <w:tr w:rsidR="00520B89" w:rsidRPr="00520B89" w14:paraId="6D18C899" w14:textId="77777777" w:rsidTr="00520B89">
        <w:trPr>
          <w:trHeight w:val="288"/>
        </w:trPr>
        <w:tc>
          <w:tcPr>
            <w:tcW w:w="0" w:type="auto"/>
            <w:tcBorders>
              <w:top w:val="nil"/>
              <w:left w:val="nil"/>
              <w:bottom w:val="nil"/>
              <w:right w:val="nil"/>
            </w:tcBorders>
            <w:shd w:val="clear" w:color="auto" w:fill="auto"/>
            <w:noWrap/>
            <w:vAlign w:val="center"/>
            <w:hideMark/>
          </w:tcPr>
          <w:p w14:paraId="6E0B969F"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CPL</w:t>
            </w:r>
          </w:p>
        </w:tc>
        <w:tc>
          <w:tcPr>
            <w:tcW w:w="0" w:type="auto"/>
            <w:tcBorders>
              <w:top w:val="nil"/>
              <w:left w:val="nil"/>
              <w:bottom w:val="nil"/>
              <w:right w:val="nil"/>
            </w:tcBorders>
            <w:shd w:val="clear" w:color="auto" w:fill="auto"/>
            <w:noWrap/>
            <w:vAlign w:val="center"/>
            <w:hideMark/>
          </w:tcPr>
          <w:p w14:paraId="4D9E4766"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P03</w:t>
            </w:r>
          </w:p>
        </w:tc>
        <w:tc>
          <w:tcPr>
            <w:tcW w:w="0" w:type="auto"/>
            <w:tcBorders>
              <w:top w:val="nil"/>
              <w:left w:val="nil"/>
              <w:bottom w:val="nil"/>
              <w:right w:val="nil"/>
            </w:tcBorders>
            <w:shd w:val="clear" w:color="auto" w:fill="auto"/>
            <w:noWrap/>
            <w:vAlign w:val="center"/>
            <w:hideMark/>
          </w:tcPr>
          <w:p w14:paraId="4C25F4C9"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89,45</w:t>
            </w:r>
          </w:p>
        </w:tc>
        <w:tc>
          <w:tcPr>
            <w:tcW w:w="0" w:type="auto"/>
            <w:tcBorders>
              <w:top w:val="nil"/>
              <w:left w:val="nil"/>
              <w:bottom w:val="nil"/>
              <w:right w:val="nil"/>
            </w:tcBorders>
            <w:shd w:val="clear" w:color="auto" w:fill="auto"/>
            <w:noWrap/>
            <w:vAlign w:val="center"/>
            <w:hideMark/>
          </w:tcPr>
          <w:p w14:paraId="672CAFF7"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3867749E"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JCN</w:t>
            </w:r>
          </w:p>
        </w:tc>
        <w:tc>
          <w:tcPr>
            <w:tcW w:w="0" w:type="auto"/>
            <w:tcBorders>
              <w:top w:val="nil"/>
              <w:left w:val="nil"/>
              <w:bottom w:val="nil"/>
              <w:right w:val="nil"/>
            </w:tcBorders>
            <w:shd w:val="clear" w:color="auto" w:fill="auto"/>
            <w:noWrap/>
            <w:vAlign w:val="center"/>
            <w:hideMark/>
          </w:tcPr>
          <w:p w14:paraId="73F19BB9"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P07</w:t>
            </w:r>
          </w:p>
        </w:tc>
        <w:tc>
          <w:tcPr>
            <w:tcW w:w="0" w:type="auto"/>
            <w:tcBorders>
              <w:top w:val="nil"/>
              <w:left w:val="nil"/>
              <w:bottom w:val="nil"/>
              <w:right w:val="nil"/>
            </w:tcBorders>
            <w:shd w:val="clear" w:color="auto" w:fill="auto"/>
            <w:noWrap/>
            <w:vAlign w:val="center"/>
            <w:hideMark/>
          </w:tcPr>
          <w:p w14:paraId="16F00F9B"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97,55</w:t>
            </w:r>
          </w:p>
        </w:tc>
        <w:tc>
          <w:tcPr>
            <w:tcW w:w="0" w:type="auto"/>
            <w:tcBorders>
              <w:top w:val="nil"/>
              <w:left w:val="nil"/>
              <w:bottom w:val="nil"/>
              <w:right w:val="nil"/>
            </w:tcBorders>
            <w:shd w:val="clear" w:color="auto" w:fill="auto"/>
            <w:noWrap/>
            <w:vAlign w:val="center"/>
            <w:hideMark/>
          </w:tcPr>
          <w:p w14:paraId="1293697B"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3C4241B1"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SPZ</w:t>
            </w:r>
          </w:p>
        </w:tc>
        <w:tc>
          <w:tcPr>
            <w:tcW w:w="0" w:type="auto"/>
            <w:tcBorders>
              <w:top w:val="nil"/>
              <w:left w:val="nil"/>
              <w:bottom w:val="nil"/>
              <w:right w:val="nil"/>
            </w:tcBorders>
            <w:shd w:val="clear" w:color="auto" w:fill="auto"/>
            <w:noWrap/>
            <w:vAlign w:val="center"/>
            <w:hideMark/>
          </w:tcPr>
          <w:p w14:paraId="54DEEB02"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P01</w:t>
            </w:r>
          </w:p>
        </w:tc>
        <w:tc>
          <w:tcPr>
            <w:tcW w:w="0" w:type="auto"/>
            <w:tcBorders>
              <w:top w:val="nil"/>
              <w:left w:val="nil"/>
              <w:bottom w:val="nil"/>
              <w:right w:val="nil"/>
            </w:tcBorders>
            <w:shd w:val="clear" w:color="auto" w:fill="auto"/>
            <w:noWrap/>
            <w:vAlign w:val="center"/>
            <w:hideMark/>
          </w:tcPr>
          <w:p w14:paraId="06EA7F0D"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94,22</w:t>
            </w:r>
          </w:p>
        </w:tc>
      </w:tr>
      <w:tr w:rsidR="00520B89" w:rsidRPr="00520B89" w14:paraId="5D10DA3C" w14:textId="77777777" w:rsidTr="00520B89">
        <w:trPr>
          <w:trHeight w:val="288"/>
        </w:trPr>
        <w:tc>
          <w:tcPr>
            <w:tcW w:w="0" w:type="auto"/>
            <w:tcBorders>
              <w:top w:val="nil"/>
              <w:left w:val="nil"/>
              <w:bottom w:val="single" w:sz="4" w:space="0" w:color="auto"/>
              <w:right w:val="nil"/>
            </w:tcBorders>
            <w:shd w:val="clear" w:color="auto" w:fill="auto"/>
            <w:noWrap/>
            <w:vAlign w:val="center"/>
            <w:hideMark/>
          </w:tcPr>
          <w:p w14:paraId="6AD47C3B"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CPL</w:t>
            </w:r>
          </w:p>
        </w:tc>
        <w:tc>
          <w:tcPr>
            <w:tcW w:w="0" w:type="auto"/>
            <w:tcBorders>
              <w:top w:val="nil"/>
              <w:left w:val="nil"/>
              <w:bottom w:val="single" w:sz="4" w:space="0" w:color="auto"/>
              <w:right w:val="nil"/>
            </w:tcBorders>
            <w:shd w:val="clear" w:color="auto" w:fill="auto"/>
            <w:noWrap/>
            <w:vAlign w:val="center"/>
            <w:hideMark/>
          </w:tcPr>
          <w:p w14:paraId="74AEDDF0"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P04</w:t>
            </w:r>
          </w:p>
        </w:tc>
        <w:tc>
          <w:tcPr>
            <w:tcW w:w="0" w:type="auto"/>
            <w:tcBorders>
              <w:top w:val="nil"/>
              <w:left w:val="nil"/>
              <w:bottom w:val="single" w:sz="4" w:space="0" w:color="auto"/>
              <w:right w:val="nil"/>
            </w:tcBorders>
            <w:shd w:val="clear" w:color="auto" w:fill="auto"/>
            <w:noWrap/>
            <w:vAlign w:val="center"/>
            <w:hideMark/>
          </w:tcPr>
          <w:p w14:paraId="73853FCA"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96,58</w:t>
            </w:r>
          </w:p>
        </w:tc>
        <w:tc>
          <w:tcPr>
            <w:tcW w:w="0" w:type="auto"/>
            <w:tcBorders>
              <w:top w:val="nil"/>
              <w:left w:val="nil"/>
              <w:bottom w:val="nil"/>
              <w:right w:val="nil"/>
            </w:tcBorders>
            <w:shd w:val="clear" w:color="auto" w:fill="auto"/>
            <w:noWrap/>
            <w:vAlign w:val="center"/>
            <w:hideMark/>
          </w:tcPr>
          <w:p w14:paraId="59ED0F1C"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76698035"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JCN</w:t>
            </w:r>
          </w:p>
        </w:tc>
        <w:tc>
          <w:tcPr>
            <w:tcW w:w="0" w:type="auto"/>
            <w:tcBorders>
              <w:top w:val="nil"/>
              <w:left w:val="nil"/>
              <w:bottom w:val="nil"/>
              <w:right w:val="nil"/>
            </w:tcBorders>
            <w:shd w:val="clear" w:color="auto" w:fill="auto"/>
            <w:noWrap/>
            <w:vAlign w:val="center"/>
            <w:hideMark/>
          </w:tcPr>
          <w:p w14:paraId="486865B1"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P08</w:t>
            </w:r>
          </w:p>
        </w:tc>
        <w:tc>
          <w:tcPr>
            <w:tcW w:w="0" w:type="auto"/>
            <w:tcBorders>
              <w:top w:val="nil"/>
              <w:left w:val="nil"/>
              <w:bottom w:val="nil"/>
              <w:right w:val="nil"/>
            </w:tcBorders>
            <w:shd w:val="clear" w:color="auto" w:fill="auto"/>
            <w:noWrap/>
            <w:vAlign w:val="center"/>
            <w:hideMark/>
          </w:tcPr>
          <w:p w14:paraId="68121BA1"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96,40</w:t>
            </w:r>
          </w:p>
        </w:tc>
        <w:tc>
          <w:tcPr>
            <w:tcW w:w="0" w:type="auto"/>
            <w:tcBorders>
              <w:top w:val="nil"/>
              <w:left w:val="nil"/>
              <w:bottom w:val="nil"/>
              <w:right w:val="nil"/>
            </w:tcBorders>
            <w:shd w:val="clear" w:color="auto" w:fill="auto"/>
            <w:noWrap/>
            <w:vAlign w:val="center"/>
            <w:hideMark/>
          </w:tcPr>
          <w:p w14:paraId="19BAD1A6"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2F097ED5"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SPZ</w:t>
            </w:r>
          </w:p>
        </w:tc>
        <w:tc>
          <w:tcPr>
            <w:tcW w:w="0" w:type="auto"/>
            <w:tcBorders>
              <w:top w:val="nil"/>
              <w:left w:val="nil"/>
              <w:bottom w:val="nil"/>
              <w:right w:val="nil"/>
            </w:tcBorders>
            <w:shd w:val="clear" w:color="auto" w:fill="auto"/>
            <w:noWrap/>
            <w:vAlign w:val="center"/>
            <w:hideMark/>
          </w:tcPr>
          <w:p w14:paraId="1A538DB1"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P02</w:t>
            </w:r>
          </w:p>
        </w:tc>
        <w:tc>
          <w:tcPr>
            <w:tcW w:w="0" w:type="auto"/>
            <w:tcBorders>
              <w:top w:val="nil"/>
              <w:left w:val="nil"/>
              <w:bottom w:val="nil"/>
              <w:right w:val="nil"/>
            </w:tcBorders>
            <w:shd w:val="clear" w:color="auto" w:fill="auto"/>
            <w:noWrap/>
            <w:vAlign w:val="center"/>
            <w:hideMark/>
          </w:tcPr>
          <w:p w14:paraId="126F90C0"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95,51</w:t>
            </w:r>
          </w:p>
        </w:tc>
      </w:tr>
      <w:tr w:rsidR="00520B89" w:rsidRPr="00520B89" w14:paraId="5AA08E3C" w14:textId="77777777" w:rsidTr="00520B89">
        <w:trPr>
          <w:trHeight w:val="288"/>
        </w:trPr>
        <w:tc>
          <w:tcPr>
            <w:tcW w:w="0" w:type="auto"/>
            <w:tcBorders>
              <w:top w:val="nil"/>
              <w:left w:val="nil"/>
              <w:bottom w:val="nil"/>
              <w:right w:val="nil"/>
            </w:tcBorders>
            <w:shd w:val="clear" w:color="auto" w:fill="auto"/>
            <w:noWrap/>
            <w:vAlign w:val="center"/>
            <w:hideMark/>
          </w:tcPr>
          <w:p w14:paraId="6A910A62"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ESP</w:t>
            </w:r>
          </w:p>
        </w:tc>
        <w:tc>
          <w:tcPr>
            <w:tcW w:w="0" w:type="auto"/>
            <w:tcBorders>
              <w:top w:val="nil"/>
              <w:left w:val="nil"/>
              <w:bottom w:val="nil"/>
              <w:right w:val="nil"/>
            </w:tcBorders>
            <w:shd w:val="clear" w:color="auto" w:fill="auto"/>
            <w:noWrap/>
            <w:vAlign w:val="center"/>
            <w:hideMark/>
          </w:tcPr>
          <w:p w14:paraId="59484298"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P01</w:t>
            </w:r>
          </w:p>
        </w:tc>
        <w:tc>
          <w:tcPr>
            <w:tcW w:w="0" w:type="auto"/>
            <w:tcBorders>
              <w:top w:val="nil"/>
              <w:left w:val="nil"/>
              <w:bottom w:val="nil"/>
              <w:right w:val="nil"/>
            </w:tcBorders>
            <w:shd w:val="clear" w:color="auto" w:fill="auto"/>
            <w:noWrap/>
            <w:vAlign w:val="center"/>
            <w:hideMark/>
          </w:tcPr>
          <w:p w14:paraId="442F97C3"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95,88</w:t>
            </w:r>
          </w:p>
        </w:tc>
        <w:tc>
          <w:tcPr>
            <w:tcW w:w="0" w:type="auto"/>
            <w:tcBorders>
              <w:top w:val="nil"/>
              <w:left w:val="nil"/>
              <w:bottom w:val="nil"/>
              <w:right w:val="nil"/>
            </w:tcBorders>
            <w:shd w:val="clear" w:color="auto" w:fill="auto"/>
            <w:noWrap/>
            <w:vAlign w:val="center"/>
            <w:hideMark/>
          </w:tcPr>
          <w:p w14:paraId="70DDE5CF"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0BC62B77"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JCN</w:t>
            </w:r>
          </w:p>
        </w:tc>
        <w:tc>
          <w:tcPr>
            <w:tcW w:w="0" w:type="auto"/>
            <w:tcBorders>
              <w:top w:val="nil"/>
              <w:left w:val="nil"/>
              <w:bottom w:val="nil"/>
              <w:right w:val="nil"/>
            </w:tcBorders>
            <w:shd w:val="clear" w:color="auto" w:fill="auto"/>
            <w:noWrap/>
            <w:vAlign w:val="center"/>
            <w:hideMark/>
          </w:tcPr>
          <w:p w14:paraId="4C7E320C"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P09</w:t>
            </w:r>
          </w:p>
        </w:tc>
        <w:tc>
          <w:tcPr>
            <w:tcW w:w="0" w:type="auto"/>
            <w:tcBorders>
              <w:top w:val="nil"/>
              <w:left w:val="nil"/>
              <w:bottom w:val="nil"/>
              <w:right w:val="nil"/>
            </w:tcBorders>
            <w:shd w:val="clear" w:color="auto" w:fill="auto"/>
            <w:noWrap/>
            <w:vAlign w:val="center"/>
            <w:hideMark/>
          </w:tcPr>
          <w:p w14:paraId="2052CA95"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94,12</w:t>
            </w:r>
          </w:p>
        </w:tc>
        <w:tc>
          <w:tcPr>
            <w:tcW w:w="0" w:type="auto"/>
            <w:tcBorders>
              <w:top w:val="nil"/>
              <w:left w:val="nil"/>
              <w:bottom w:val="nil"/>
              <w:right w:val="nil"/>
            </w:tcBorders>
            <w:shd w:val="clear" w:color="auto" w:fill="auto"/>
            <w:noWrap/>
            <w:vAlign w:val="center"/>
            <w:hideMark/>
          </w:tcPr>
          <w:p w14:paraId="23326FE7"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single" w:sz="4" w:space="0" w:color="auto"/>
              <w:right w:val="nil"/>
            </w:tcBorders>
            <w:shd w:val="clear" w:color="auto" w:fill="auto"/>
            <w:noWrap/>
            <w:vAlign w:val="center"/>
            <w:hideMark/>
          </w:tcPr>
          <w:p w14:paraId="60FBA61E"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SPZ</w:t>
            </w:r>
          </w:p>
        </w:tc>
        <w:tc>
          <w:tcPr>
            <w:tcW w:w="0" w:type="auto"/>
            <w:tcBorders>
              <w:top w:val="nil"/>
              <w:left w:val="nil"/>
              <w:bottom w:val="single" w:sz="4" w:space="0" w:color="auto"/>
              <w:right w:val="nil"/>
            </w:tcBorders>
            <w:shd w:val="clear" w:color="auto" w:fill="auto"/>
            <w:noWrap/>
            <w:vAlign w:val="center"/>
            <w:hideMark/>
          </w:tcPr>
          <w:p w14:paraId="3120A564"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P03</w:t>
            </w:r>
          </w:p>
        </w:tc>
        <w:tc>
          <w:tcPr>
            <w:tcW w:w="0" w:type="auto"/>
            <w:tcBorders>
              <w:top w:val="nil"/>
              <w:left w:val="nil"/>
              <w:bottom w:val="single" w:sz="4" w:space="0" w:color="auto"/>
              <w:right w:val="nil"/>
            </w:tcBorders>
            <w:shd w:val="clear" w:color="auto" w:fill="auto"/>
            <w:noWrap/>
            <w:vAlign w:val="center"/>
            <w:hideMark/>
          </w:tcPr>
          <w:p w14:paraId="4C75B4A9"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96,99</w:t>
            </w:r>
          </w:p>
        </w:tc>
      </w:tr>
      <w:tr w:rsidR="00520B89" w:rsidRPr="00520B89" w14:paraId="5E51249E" w14:textId="77777777" w:rsidTr="00520B89">
        <w:trPr>
          <w:trHeight w:val="288"/>
        </w:trPr>
        <w:tc>
          <w:tcPr>
            <w:tcW w:w="0" w:type="auto"/>
            <w:tcBorders>
              <w:top w:val="nil"/>
              <w:left w:val="nil"/>
              <w:bottom w:val="nil"/>
              <w:right w:val="nil"/>
            </w:tcBorders>
            <w:shd w:val="clear" w:color="auto" w:fill="auto"/>
            <w:noWrap/>
            <w:vAlign w:val="center"/>
            <w:hideMark/>
          </w:tcPr>
          <w:p w14:paraId="5C7D81A4"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ESP</w:t>
            </w:r>
          </w:p>
        </w:tc>
        <w:tc>
          <w:tcPr>
            <w:tcW w:w="0" w:type="auto"/>
            <w:tcBorders>
              <w:top w:val="nil"/>
              <w:left w:val="nil"/>
              <w:bottom w:val="nil"/>
              <w:right w:val="nil"/>
            </w:tcBorders>
            <w:shd w:val="clear" w:color="auto" w:fill="auto"/>
            <w:noWrap/>
            <w:vAlign w:val="center"/>
            <w:hideMark/>
          </w:tcPr>
          <w:p w14:paraId="55E3555B"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P02</w:t>
            </w:r>
          </w:p>
        </w:tc>
        <w:tc>
          <w:tcPr>
            <w:tcW w:w="0" w:type="auto"/>
            <w:tcBorders>
              <w:top w:val="nil"/>
              <w:left w:val="nil"/>
              <w:bottom w:val="nil"/>
              <w:right w:val="nil"/>
            </w:tcBorders>
            <w:shd w:val="clear" w:color="auto" w:fill="auto"/>
            <w:noWrap/>
            <w:vAlign w:val="center"/>
            <w:hideMark/>
          </w:tcPr>
          <w:p w14:paraId="0D4E69AA"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95,99</w:t>
            </w:r>
          </w:p>
        </w:tc>
        <w:tc>
          <w:tcPr>
            <w:tcW w:w="0" w:type="auto"/>
            <w:tcBorders>
              <w:top w:val="nil"/>
              <w:left w:val="nil"/>
              <w:bottom w:val="nil"/>
              <w:right w:val="nil"/>
            </w:tcBorders>
            <w:shd w:val="clear" w:color="auto" w:fill="auto"/>
            <w:noWrap/>
            <w:vAlign w:val="center"/>
            <w:hideMark/>
          </w:tcPr>
          <w:p w14:paraId="14385DED"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single" w:sz="4" w:space="0" w:color="auto"/>
              <w:right w:val="nil"/>
            </w:tcBorders>
            <w:shd w:val="clear" w:color="auto" w:fill="auto"/>
            <w:noWrap/>
            <w:vAlign w:val="center"/>
            <w:hideMark/>
          </w:tcPr>
          <w:p w14:paraId="5178054B"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JCN</w:t>
            </w:r>
          </w:p>
        </w:tc>
        <w:tc>
          <w:tcPr>
            <w:tcW w:w="0" w:type="auto"/>
            <w:tcBorders>
              <w:top w:val="nil"/>
              <w:left w:val="nil"/>
              <w:bottom w:val="single" w:sz="4" w:space="0" w:color="auto"/>
              <w:right w:val="nil"/>
            </w:tcBorders>
            <w:shd w:val="clear" w:color="auto" w:fill="auto"/>
            <w:noWrap/>
            <w:vAlign w:val="center"/>
            <w:hideMark/>
          </w:tcPr>
          <w:p w14:paraId="046FF0EE"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P10</w:t>
            </w:r>
          </w:p>
        </w:tc>
        <w:tc>
          <w:tcPr>
            <w:tcW w:w="0" w:type="auto"/>
            <w:tcBorders>
              <w:top w:val="nil"/>
              <w:left w:val="nil"/>
              <w:bottom w:val="single" w:sz="4" w:space="0" w:color="auto"/>
              <w:right w:val="nil"/>
            </w:tcBorders>
            <w:shd w:val="clear" w:color="auto" w:fill="auto"/>
            <w:noWrap/>
            <w:vAlign w:val="center"/>
            <w:hideMark/>
          </w:tcPr>
          <w:p w14:paraId="557A9667"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97,87</w:t>
            </w:r>
          </w:p>
        </w:tc>
        <w:tc>
          <w:tcPr>
            <w:tcW w:w="0" w:type="auto"/>
            <w:tcBorders>
              <w:top w:val="nil"/>
              <w:left w:val="nil"/>
              <w:bottom w:val="nil"/>
              <w:right w:val="nil"/>
            </w:tcBorders>
            <w:shd w:val="clear" w:color="auto" w:fill="auto"/>
            <w:noWrap/>
            <w:vAlign w:val="center"/>
            <w:hideMark/>
          </w:tcPr>
          <w:p w14:paraId="5AE8D33F"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single" w:sz="4" w:space="0" w:color="auto"/>
              <w:right w:val="nil"/>
            </w:tcBorders>
            <w:shd w:val="clear" w:color="auto" w:fill="auto"/>
            <w:noWrap/>
            <w:vAlign w:val="center"/>
            <w:hideMark/>
          </w:tcPr>
          <w:p w14:paraId="30FCEBF5"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AGD</w:t>
            </w:r>
          </w:p>
        </w:tc>
        <w:tc>
          <w:tcPr>
            <w:tcW w:w="0" w:type="auto"/>
            <w:tcBorders>
              <w:top w:val="nil"/>
              <w:left w:val="nil"/>
              <w:bottom w:val="single" w:sz="4" w:space="0" w:color="auto"/>
              <w:right w:val="nil"/>
            </w:tcBorders>
            <w:shd w:val="clear" w:color="auto" w:fill="auto"/>
            <w:noWrap/>
            <w:vAlign w:val="center"/>
            <w:hideMark/>
          </w:tcPr>
          <w:p w14:paraId="71F4E833"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P01</w:t>
            </w:r>
          </w:p>
        </w:tc>
        <w:tc>
          <w:tcPr>
            <w:tcW w:w="0" w:type="auto"/>
            <w:tcBorders>
              <w:top w:val="nil"/>
              <w:left w:val="nil"/>
              <w:bottom w:val="single" w:sz="4" w:space="0" w:color="auto"/>
              <w:right w:val="nil"/>
            </w:tcBorders>
            <w:shd w:val="clear" w:color="auto" w:fill="auto"/>
            <w:noWrap/>
            <w:vAlign w:val="center"/>
            <w:hideMark/>
          </w:tcPr>
          <w:p w14:paraId="5B7CD055"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97,81</w:t>
            </w:r>
          </w:p>
        </w:tc>
      </w:tr>
      <w:tr w:rsidR="00520B89" w:rsidRPr="00520B89" w14:paraId="722FBFC0" w14:textId="77777777" w:rsidTr="00520B89">
        <w:trPr>
          <w:trHeight w:val="288"/>
        </w:trPr>
        <w:tc>
          <w:tcPr>
            <w:tcW w:w="0" w:type="auto"/>
            <w:tcBorders>
              <w:top w:val="nil"/>
              <w:left w:val="nil"/>
              <w:bottom w:val="single" w:sz="4" w:space="0" w:color="auto"/>
              <w:right w:val="nil"/>
            </w:tcBorders>
            <w:shd w:val="clear" w:color="auto" w:fill="auto"/>
            <w:noWrap/>
            <w:vAlign w:val="center"/>
            <w:hideMark/>
          </w:tcPr>
          <w:p w14:paraId="69F6B622"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ESP</w:t>
            </w:r>
          </w:p>
        </w:tc>
        <w:tc>
          <w:tcPr>
            <w:tcW w:w="0" w:type="auto"/>
            <w:tcBorders>
              <w:top w:val="nil"/>
              <w:left w:val="nil"/>
              <w:bottom w:val="single" w:sz="4" w:space="0" w:color="auto"/>
              <w:right w:val="nil"/>
            </w:tcBorders>
            <w:shd w:val="clear" w:color="auto" w:fill="auto"/>
            <w:noWrap/>
            <w:vAlign w:val="center"/>
            <w:hideMark/>
          </w:tcPr>
          <w:p w14:paraId="38B63668"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P03</w:t>
            </w:r>
          </w:p>
        </w:tc>
        <w:tc>
          <w:tcPr>
            <w:tcW w:w="0" w:type="auto"/>
            <w:tcBorders>
              <w:top w:val="nil"/>
              <w:left w:val="nil"/>
              <w:bottom w:val="single" w:sz="4" w:space="0" w:color="auto"/>
              <w:right w:val="nil"/>
            </w:tcBorders>
            <w:shd w:val="clear" w:color="auto" w:fill="auto"/>
            <w:noWrap/>
            <w:vAlign w:val="center"/>
            <w:hideMark/>
          </w:tcPr>
          <w:p w14:paraId="4151F784"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96,36</w:t>
            </w:r>
          </w:p>
        </w:tc>
        <w:tc>
          <w:tcPr>
            <w:tcW w:w="0" w:type="auto"/>
            <w:tcBorders>
              <w:top w:val="nil"/>
              <w:left w:val="nil"/>
              <w:bottom w:val="nil"/>
              <w:right w:val="nil"/>
            </w:tcBorders>
            <w:shd w:val="clear" w:color="auto" w:fill="auto"/>
            <w:noWrap/>
            <w:vAlign w:val="center"/>
            <w:hideMark/>
          </w:tcPr>
          <w:p w14:paraId="00916497"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64CC9BF7"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NSC</w:t>
            </w:r>
          </w:p>
        </w:tc>
        <w:tc>
          <w:tcPr>
            <w:tcW w:w="0" w:type="auto"/>
            <w:tcBorders>
              <w:top w:val="nil"/>
              <w:left w:val="nil"/>
              <w:bottom w:val="nil"/>
              <w:right w:val="nil"/>
            </w:tcBorders>
            <w:shd w:val="clear" w:color="auto" w:fill="auto"/>
            <w:noWrap/>
            <w:vAlign w:val="center"/>
            <w:hideMark/>
          </w:tcPr>
          <w:p w14:paraId="18884BE5"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P01</w:t>
            </w:r>
          </w:p>
        </w:tc>
        <w:tc>
          <w:tcPr>
            <w:tcW w:w="0" w:type="auto"/>
            <w:tcBorders>
              <w:top w:val="nil"/>
              <w:left w:val="nil"/>
              <w:bottom w:val="nil"/>
              <w:right w:val="nil"/>
            </w:tcBorders>
            <w:shd w:val="clear" w:color="auto" w:fill="auto"/>
            <w:noWrap/>
            <w:vAlign w:val="center"/>
            <w:hideMark/>
          </w:tcPr>
          <w:p w14:paraId="3FD4441E"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96,42</w:t>
            </w:r>
          </w:p>
        </w:tc>
        <w:tc>
          <w:tcPr>
            <w:tcW w:w="0" w:type="auto"/>
            <w:tcBorders>
              <w:top w:val="nil"/>
              <w:left w:val="nil"/>
              <w:bottom w:val="nil"/>
              <w:right w:val="nil"/>
            </w:tcBorders>
            <w:shd w:val="clear" w:color="auto" w:fill="auto"/>
            <w:noWrap/>
            <w:vAlign w:val="center"/>
            <w:hideMark/>
          </w:tcPr>
          <w:p w14:paraId="4D460804"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12AE687C"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EBS</w:t>
            </w:r>
          </w:p>
        </w:tc>
        <w:tc>
          <w:tcPr>
            <w:tcW w:w="0" w:type="auto"/>
            <w:tcBorders>
              <w:top w:val="nil"/>
              <w:left w:val="nil"/>
              <w:bottom w:val="nil"/>
              <w:right w:val="nil"/>
            </w:tcBorders>
            <w:shd w:val="clear" w:color="auto" w:fill="auto"/>
            <w:noWrap/>
            <w:vAlign w:val="center"/>
            <w:hideMark/>
          </w:tcPr>
          <w:p w14:paraId="47EB0728"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P09</w:t>
            </w:r>
          </w:p>
        </w:tc>
        <w:tc>
          <w:tcPr>
            <w:tcW w:w="0" w:type="auto"/>
            <w:tcBorders>
              <w:top w:val="nil"/>
              <w:left w:val="nil"/>
              <w:bottom w:val="nil"/>
              <w:right w:val="nil"/>
            </w:tcBorders>
            <w:shd w:val="clear" w:color="auto" w:fill="auto"/>
            <w:noWrap/>
            <w:vAlign w:val="center"/>
            <w:hideMark/>
          </w:tcPr>
          <w:p w14:paraId="1E7E6685"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97,58</w:t>
            </w:r>
          </w:p>
        </w:tc>
      </w:tr>
      <w:tr w:rsidR="00520B89" w:rsidRPr="00520B89" w14:paraId="3A2F8A57" w14:textId="77777777" w:rsidTr="00520B89">
        <w:trPr>
          <w:trHeight w:val="288"/>
        </w:trPr>
        <w:tc>
          <w:tcPr>
            <w:tcW w:w="0" w:type="auto"/>
            <w:tcBorders>
              <w:top w:val="nil"/>
              <w:left w:val="nil"/>
              <w:bottom w:val="nil"/>
              <w:right w:val="nil"/>
            </w:tcBorders>
            <w:shd w:val="clear" w:color="auto" w:fill="auto"/>
            <w:noWrap/>
            <w:vAlign w:val="center"/>
            <w:hideMark/>
          </w:tcPr>
          <w:p w14:paraId="2CDC14DF"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DNI</w:t>
            </w:r>
          </w:p>
        </w:tc>
        <w:tc>
          <w:tcPr>
            <w:tcW w:w="0" w:type="auto"/>
            <w:tcBorders>
              <w:top w:val="nil"/>
              <w:left w:val="nil"/>
              <w:bottom w:val="nil"/>
              <w:right w:val="nil"/>
            </w:tcBorders>
            <w:shd w:val="clear" w:color="auto" w:fill="auto"/>
            <w:noWrap/>
            <w:vAlign w:val="center"/>
            <w:hideMark/>
          </w:tcPr>
          <w:p w14:paraId="12198D0D"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P01</w:t>
            </w:r>
          </w:p>
        </w:tc>
        <w:tc>
          <w:tcPr>
            <w:tcW w:w="0" w:type="auto"/>
            <w:tcBorders>
              <w:top w:val="nil"/>
              <w:left w:val="nil"/>
              <w:bottom w:val="nil"/>
              <w:right w:val="nil"/>
            </w:tcBorders>
            <w:shd w:val="clear" w:color="auto" w:fill="auto"/>
            <w:noWrap/>
            <w:vAlign w:val="center"/>
            <w:hideMark/>
          </w:tcPr>
          <w:p w14:paraId="7944DD9F"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92,33</w:t>
            </w:r>
          </w:p>
        </w:tc>
        <w:tc>
          <w:tcPr>
            <w:tcW w:w="0" w:type="auto"/>
            <w:tcBorders>
              <w:top w:val="nil"/>
              <w:left w:val="nil"/>
              <w:bottom w:val="nil"/>
              <w:right w:val="nil"/>
            </w:tcBorders>
            <w:shd w:val="clear" w:color="auto" w:fill="auto"/>
            <w:noWrap/>
            <w:vAlign w:val="center"/>
            <w:hideMark/>
          </w:tcPr>
          <w:p w14:paraId="61F71BEA"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single" w:sz="4" w:space="0" w:color="auto"/>
              <w:right w:val="nil"/>
            </w:tcBorders>
            <w:shd w:val="clear" w:color="auto" w:fill="auto"/>
            <w:noWrap/>
            <w:vAlign w:val="center"/>
            <w:hideMark/>
          </w:tcPr>
          <w:p w14:paraId="5FF6C349"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NSC</w:t>
            </w:r>
          </w:p>
        </w:tc>
        <w:tc>
          <w:tcPr>
            <w:tcW w:w="0" w:type="auto"/>
            <w:tcBorders>
              <w:top w:val="nil"/>
              <w:left w:val="nil"/>
              <w:bottom w:val="single" w:sz="4" w:space="0" w:color="auto"/>
              <w:right w:val="nil"/>
            </w:tcBorders>
            <w:shd w:val="clear" w:color="auto" w:fill="auto"/>
            <w:noWrap/>
            <w:vAlign w:val="center"/>
            <w:hideMark/>
          </w:tcPr>
          <w:p w14:paraId="18AEBB36"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P02</w:t>
            </w:r>
          </w:p>
        </w:tc>
        <w:tc>
          <w:tcPr>
            <w:tcW w:w="0" w:type="auto"/>
            <w:tcBorders>
              <w:top w:val="nil"/>
              <w:left w:val="nil"/>
              <w:bottom w:val="single" w:sz="4" w:space="0" w:color="auto"/>
              <w:right w:val="nil"/>
            </w:tcBorders>
            <w:shd w:val="clear" w:color="auto" w:fill="auto"/>
            <w:noWrap/>
            <w:vAlign w:val="center"/>
            <w:hideMark/>
          </w:tcPr>
          <w:p w14:paraId="0250CB7B"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90,23</w:t>
            </w:r>
          </w:p>
        </w:tc>
        <w:tc>
          <w:tcPr>
            <w:tcW w:w="0" w:type="auto"/>
            <w:tcBorders>
              <w:top w:val="nil"/>
              <w:left w:val="nil"/>
              <w:bottom w:val="nil"/>
              <w:right w:val="nil"/>
            </w:tcBorders>
            <w:shd w:val="clear" w:color="auto" w:fill="auto"/>
            <w:noWrap/>
            <w:vAlign w:val="center"/>
            <w:hideMark/>
          </w:tcPr>
          <w:p w14:paraId="709ADE62"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0052585C"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EBS</w:t>
            </w:r>
          </w:p>
        </w:tc>
        <w:tc>
          <w:tcPr>
            <w:tcW w:w="0" w:type="auto"/>
            <w:tcBorders>
              <w:top w:val="nil"/>
              <w:left w:val="nil"/>
              <w:bottom w:val="nil"/>
              <w:right w:val="nil"/>
            </w:tcBorders>
            <w:shd w:val="clear" w:color="auto" w:fill="auto"/>
            <w:noWrap/>
            <w:vAlign w:val="center"/>
            <w:hideMark/>
          </w:tcPr>
          <w:p w14:paraId="7214641C"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P10</w:t>
            </w:r>
          </w:p>
        </w:tc>
        <w:tc>
          <w:tcPr>
            <w:tcW w:w="0" w:type="auto"/>
            <w:tcBorders>
              <w:top w:val="nil"/>
              <w:left w:val="nil"/>
              <w:bottom w:val="nil"/>
              <w:right w:val="nil"/>
            </w:tcBorders>
            <w:shd w:val="clear" w:color="auto" w:fill="auto"/>
            <w:noWrap/>
            <w:vAlign w:val="center"/>
            <w:hideMark/>
          </w:tcPr>
          <w:p w14:paraId="13518A33"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96,79</w:t>
            </w:r>
          </w:p>
        </w:tc>
      </w:tr>
      <w:tr w:rsidR="00520B89" w:rsidRPr="00520B89" w14:paraId="6E85A82D" w14:textId="77777777" w:rsidTr="00520B89">
        <w:trPr>
          <w:trHeight w:val="288"/>
        </w:trPr>
        <w:tc>
          <w:tcPr>
            <w:tcW w:w="0" w:type="auto"/>
            <w:tcBorders>
              <w:top w:val="nil"/>
              <w:left w:val="nil"/>
              <w:bottom w:val="nil"/>
              <w:right w:val="nil"/>
            </w:tcBorders>
            <w:shd w:val="clear" w:color="auto" w:fill="auto"/>
            <w:noWrap/>
            <w:vAlign w:val="center"/>
            <w:hideMark/>
          </w:tcPr>
          <w:p w14:paraId="4CDAEDD7"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DNI</w:t>
            </w:r>
          </w:p>
        </w:tc>
        <w:tc>
          <w:tcPr>
            <w:tcW w:w="0" w:type="auto"/>
            <w:tcBorders>
              <w:top w:val="nil"/>
              <w:left w:val="nil"/>
              <w:bottom w:val="nil"/>
              <w:right w:val="nil"/>
            </w:tcBorders>
            <w:shd w:val="clear" w:color="auto" w:fill="auto"/>
            <w:noWrap/>
            <w:vAlign w:val="center"/>
            <w:hideMark/>
          </w:tcPr>
          <w:p w14:paraId="05E340D4"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P02</w:t>
            </w:r>
          </w:p>
        </w:tc>
        <w:tc>
          <w:tcPr>
            <w:tcW w:w="0" w:type="auto"/>
            <w:tcBorders>
              <w:top w:val="nil"/>
              <w:left w:val="nil"/>
              <w:bottom w:val="nil"/>
              <w:right w:val="nil"/>
            </w:tcBorders>
            <w:shd w:val="clear" w:color="auto" w:fill="auto"/>
            <w:noWrap/>
            <w:vAlign w:val="center"/>
            <w:hideMark/>
          </w:tcPr>
          <w:p w14:paraId="7A3AB1D2"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93,70</w:t>
            </w:r>
          </w:p>
        </w:tc>
        <w:tc>
          <w:tcPr>
            <w:tcW w:w="0" w:type="auto"/>
            <w:tcBorders>
              <w:top w:val="nil"/>
              <w:left w:val="nil"/>
              <w:bottom w:val="nil"/>
              <w:right w:val="nil"/>
            </w:tcBorders>
            <w:shd w:val="clear" w:color="auto" w:fill="auto"/>
            <w:noWrap/>
            <w:vAlign w:val="center"/>
            <w:hideMark/>
          </w:tcPr>
          <w:p w14:paraId="38C4B6F5"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6DAB9D9B"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MTV</w:t>
            </w:r>
          </w:p>
        </w:tc>
        <w:tc>
          <w:tcPr>
            <w:tcW w:w="0" w:type="auto"/>
            <w:tcBorders>
              <w:top w:val="nil"/>
              <w:left w:val="nil"/>
              <w:bottom w:val="nil"/>
              <w:right w:val="nil"/>
            </w:tcBorders>
            <w:shd w:val="clear" w:color="auto" w:fill="auto"/>
            <w:noWrap/>
            <w:vAlign w:val="center"/>
            <w:hideMark/>
          </w:tcPr>
          <w:p w14:paraId="6BCA43E2"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P03</w:t>
            </w:r>
          </w:p>
        </w:tc>
        <w:tc>
          <w:tcPr>
            <w:tcW w:w="0" w:type="auto"/>
            <w:tcBorders>
              <w:top w:val="nil"/>
              <w:left w:val="nil"/>
              <w:bottom w:val="nil"/>
              <w:right w:val="nil"/>
            </w:tcBorders>
            <w:shd w:val="clear" w:color="auto" w:fill="auto"/>
            <w:noWrap/>
            <w:vAlign w:val="center"/>
            <w:hideMark/>
          </w:tcPr>
          <w:p w14:paraId="499B299D"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97,44</w:t>
            </w:r>
          </w:p>
        </w:tc>
        <w:tc>
          <w:tcPr>
            <w:tcW w:w="0" w:type="auto"/>
            <w:tcBorders>
              <w:top w:val="nil"/>
              <w:left w:val="nil"/>
              <w:bottom w:val="nil"/>
              <w:right w:val="nil"/>
            </w:tcBorders>
            <w:shd w:val="clear" w:color="auto" w:fill="auto"/>
            <w:noWrap/>
            <w:vAlign w:val="center"/>
            <w:hideMark/>
          </w:tcPr>
          <w:p w14:paraId="60985742"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4F58560B"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EBS</w:t>
            </w:r>
          </w:p>
        </w:tc>
        <w:tc>
          <w:tcPr>
            <w:tcW w:w="0" w:type="auto"/>
            <w:tcBorders>
              <w:top w:val="nil"/>
              <w:left w:val="nil"/>
              <w:bottom w:val="nil"/>
              <w:right w:val="nil"/>
            </w:tcBorders>
            <w:shd w:val="clear" w:color="auto" w:fill="auto"/>
            <w:noWrap/>
            <w:vAlign w:val="center"/>
            <w:hideMark/>
          </w:tcPr>
          <w:p w14:paraId="0AE9C063"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P11</w:t>
            </w:r>
          </w:p>
        </w:tc>
        <w:tc>
          <w:tcPr>
            <w:tcW w:w="0" w:type="auto"/>
            <w:tcBorders>
              <w:top w:val="nil"/>
              <w:left w:val="nil"/>
              <w:bottom w:val="nil"/>
              <w:right w:val="nil"/>
            </w:tcBorders>
            <w:shd w:val="clear" w:color="auto" w:fill="auto"/>
            <w:noWrap/>
            <w:vAlign w:val="center"/>
            <w:hideMark/>
          </w:tcPr>
          <w:p w14:paraId="44864804"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97,70</w:t>
            </w:r>
          </w:p>
        </w:tc>
      </w:tr>
      <w:tr w:rsidR="00520B89" w:rsidRPr="00520B89" w14:paraId="3D4F425F" w14:textId="77777777" w:rsidTr="00520B89">
        <w:trPr>
          <w:trHeight w:val="288"/>
        </w:trPr>
        <w:tc>
          <w:tcPr>
            <w:tcW w:w="0" w:type="auto"/>
            <w:tcBorders>
              <w:top w:val="nil"/>
              <w:left w:val="nil"/>
              <w:bottom w:val="nil"/>
              <w:right w:val="nil"/>
            </w:tcBorders>
            <w:shd w:val="clear" w:color="auto" w:fill="auto"/>
            <w:noWrap/>
            <w:vAlign w:val="center"/>
            <w:hideMark/>
          </w:tcPr>
          <w:p w14:paraId="1891C7AD"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DNI</w:t>
            </w:r>
          </w:p>
        </w:tc>
        <w:tc>
          <w:tcPr>
            <w:tcW w:w="0" w:type="auto"/>
            <w:tcBorders>
              <w:top w:val="nil"/>
              <w:left w:val="nil"/>
              <w:bottom w:val="nil"/>
              <w:right w:val="nil"/>
            </w:tcBorders>
            <w:shd w:val="clear" w:color="auto" w:fill="auto"/>
            <w:noWrap/>
            <w:vAlign w:val="center"/>
            <w:hideMark/>
          </w:tcPr>
          <w:p w14:paraId="2BA5FF1B"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P03</w:t>
            </w:r>
          </w:p>
        </w:tc>
        <w:tc>
          <w:tcPr>
            <w:tcW w:w="0" w:type="auto"/>
            <w:tcBorders>
              <w:top w:val="nil"/>
              <w:left w:val="nil"/>
              <w:bottom w:val="nil"/>
              <w:right w:val="nil"/>
            </w:tcBorders>
            <w:shd w:val="clear" w:color="auto" w:fill="auto"/>
            <w:noWrap/>
            <w:vAlign w:val="center"/>
            <w:hideMark/>
          </w:tcPr>
          <w:p w14:paraId="1A387EAF"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92,67</w:t>
            </w:r>
          </w:p>
        </w:tc>
        <w:tc>
          <w:tcPr>
            <w:tcW w:w="0" w:type="auto"/>
            <w:tcBorders>
              <w:top w:val="nil"/>
              <w:left w:val="nil"/>
              <w:bottom w:val="nil"/>
              <w:right w:val="nil"/>
            </w:tcBorders>
            <w:shd w:val="clear" w:color="auto" w:fill="auto"/>
            <w:noWrap/>
            <w:vAlign w:val="center"/>
            <w:hideMark/>
          </w:tcPr>
          <w:p w14:paraId="0460CB2E"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single" w:sz="4" w:space="0" w:color="auto"/>
              <w:right w:val="nil"/>
            </w:tcBorders>
            <w:shd w:val="clear" w:color="auto" w:fill="auto"/>
            <w:noWrap/>
            <w:vAlign w:val="center"/>
            <w:hideMark/>
          </w:tcPr>
          <w:p w14:paraId="105F61C1"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MTV</w:t>
            </w:r>
          </w:p>
        </w:tc>
        <w:tc>
          <w:tcPr>
            <w:tcW w:w="0" w:type="auto"/>
            <w:tcBorders>
              <w:top w:val="nil"/>
              <w:left w:val="nil"/>
              <w:bottom w:val="single" w:sz="4" w:space="0" w:color="auto"/>
              <w:right w:val="nil"/>
            </w:tcBorders>
            <w:shd w:val="clear" w:color="auto" w:fill="auto"/>
            <w:noWrap/>
            <w:vAlign w:val="center"/>
            <w:hideMark/>
          </w:tcPr>
          <w:p w14:paraId="3635EBE0"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P04</w:t>
            </w:r>
          </w:p>
        </w:tc>
        <w:tc>
          <w:tcPr>
            <w:tcW w:w="0" w:type="auto"/>
            <w:tcBorders>
              <w:top w:val="nil"/>
              <w:left w:val="nil"/>
              <w:bottom w:val="single" w:sz="4" w:space="0" w:color="auto"/>
              <w:right w:val="nil"/>
            </w:tcBorders>
            <w:shd w:val="clear" w:color="auto" w:fill="auto"/>
            <w:noWrap/>
            <w:vAlign w:val="center"/>
            <w:hideMark/>
          </w:tcPr>
          <w:p w14:paraId="4DA6C425"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96,15</w:t>
            </w:r>
          </w:p>
        </w:tc>
        <w:tc>
          <w:tcPr>
            <w:tcW w:w="0" w:type="auto"/>
            <w:tcBorders>
              <w:top w:val="nil"/>
              <w:left w:val="nil"/>
              <w:bottom w:val="nil"/>
              <w:right w:val="nil"/>
            </w:tcBorders>
            <w:shd w:val="clear" w:color="auto" w:fill="auto"/>
            <w:noWrap/>
            <w:vAlign w:val="center"/>
            <w:hideMark/>
          </w:tcPr>
          <w:p w14:paraId="11BF9C21"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7ED56BE9"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EBS</w:t>
            </w:r>
          </w:p>
        </w:tc>
        <w:tc>
          <w:tcPr>
            <w:tcW w:w="0" w:type="auto"/>
            <w:tcBorders>
              <w:top w:val="nil"/>
              <w:left w:val="nil"/>
              <w:bottom w:val="nil"/>
              <w:right w:val="nil"/>
            </w:tcBorders>
            <w:shd w:val="clear" w:color="auto" w:fill="auto"/>
            <w:noWrap/>
            <w:vAlign w:val="center"/>
            <w:hideMark/>
          </w:tcPr>
          <w:p w14:paraId="5C99C640"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P12</w:t>
            </w:r>
          </w:p>
        </w:tc>
        <w:tc>
          <w:tcPr>
            <w:tcW w:w="0" w:type="auto"/>
            <w:tcBorders>
              <w:top w:val="nil"/>
              <w:left w:val="nil"/>
              <w:bottom w:val="nil"/>
              <w:right w:val="nil"/>
            </w:tcBorders>
            <w:shd w:val="clear" w:color="auto" w:fill="auto"/>
            <w:noWrap/>
            <w:vAlign w:val="center"/>
            <w:hideMark/>
          </w:tcPr>
          <w:p w14:paraId="125761CA"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96,83</w:t>
            </w:r>
          </w:p>
        </w:tc>
      </w:tr>
      <w:tr w:rsidR="00520B89" w:rsidRPr="00520B89" w14:paraId="223E1070" w14:textId="77777777" w:rsidTr="00520B89">
        <w:trPr>
          <w:trHeight w:val="288"/>
        </w:trPr>
        <w:tc>
          <w:tcPr>
            <w:tcW w:w="0" w:type="auto"/>
            <w:tcBorders>
              <w:top w:val="nil"/>
              <w:left w:val="nil"/>
              <w:bottom w:val="nil"/>
              <w:right w:val="nil"/>
            </w:tcBorders>
            <w:shd w:val="clear" w:color="auto" w:fill="auto"/>
            <w:noWrap/>
            <w:vAlign w:val="center"/>
            <w:hideMark/>
          </w:tcPr>
          <w:p w14:paraId="24B21500"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DNI</w:t>
            </w:r>
          </w:p>
        </w:tc>
        <w:tc>
          <w:tcPr>
            <w:tcW w:w="0" w:type="auto"/>
            <w:tcBorders>
              <w:top w:val="nil"/>
              <w:left w:val="nil"/>
              <w:bottom w:val="nil"/>
              <w:right w:val="nil"/>
            </w:tcBorders>
            <w:shd w:val="clear" w:color="auto" w:fill="auto"/>
            <w:noWrap/>
            <w:vAlign w:val="center"/>
            <w:hideMark/>
          </w:tcPr>
          <w:p w14:paraId="5EDC5659"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P04</w:t>
            </w:r>
          </w:p>
        </w:tc>
        <w:tc>
          <w:tcPr>
            <w:tcW w:w="0" w:type="auto"/>
            <w:tcBorders>
              <w:top w:val="nil"/>
              <w:left w:val="nil"/>
              <w:bottom w:val="nil"/>
              <w:right w:val="nil"/>
            </w:tcBorders>
            <w:shd w:val="clear" w:color="auto" w:fill="auto"/>
            <w:noWrap/>
            <w:vAlign w:val="center"/>
            <w:hideMark/>
          </w:tcPr>
          <w:p w14:paraId="45E97AC2"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85,33</w:t>
            </w:r>
          </w:p>
        </w:tc>
        <w:tc>
          <w:tcPr>
            <w:tcW w:w="0" w:type="auto"/>
            <w:tcBorders>
              <w:top w:val="nil"/>
              <w:left w:val="nil"/>
              <w:bottom w:val="nil"/>
              <w:right w:val="nil"/>
            </w:tcBorders>
            <w:shd w:val="clear" w:color="auto" w:fill="auto"/>
            <w:noWrap/>
            <w:vAlign w:val="center"/>
            <w:hideMark/>
          </w:tcPr>
          <w:p w14:paraId="291749EE" w14:textId="77777777" w:rsidR="00790498" w:rsidRPr="00520B89" w:rsidRDefault="00790498" w:rsidP="00520B89">
            <w:pPr>
              <w:spacing w:line="360" w:lineRule="auto"/>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7D7C070C"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HMV</w:t>
            </w:r>
          </w:p>
        </w:tc>
        <w:tc>
          <w:tcPr>
            <w:tcW w:w="0" w:type="auto"/>
            <w:tcBorders>
              <w:top w:val="nil"/>
              <w:left w:val="nil"/>
              <w:bottom w:val="nil"/>
              <w:right w:val="nil"/>
            </w:tcBorders>
            <w:shd w:val="clear" w:color="auto" w:fill="auto"/>
            <w:noWrap/>
            <w:vAlign w:val="center"/>
            <w:hideMark/>
          </w:tcPr>
          <w:p w14:paraId="1A276487"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P01</w:t>
            </w:r>
          </w:p>
        </w:tc>
        <w:tc>
          <w:tcPr>
            <w:tcW w:w="0" w:type="auto"/>
            <w:tcBorders>
              <w:top w:val="nil"/>
              <w:left w:val="nil"/>
              <w:bottom w:val="nil"/>
              <w:right w:val="nil"/>
            </w:tcBorders>
            <w:shd w:val="clear" w:color="auto" w:fill="auto"/>
            <w:noWrap/>
            <w:vAlign w:val="center"/>
            <w:hideMark/>
          </w:tcPr>
          <w:p w14:paraId="74484A9C"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95,81</w:t>
            </w:r>
          </w:p>
        </w:tc>
        <w:tc>
          <w:tcPr>
            <w:tcW w:w="0" w:type="auto"/>
            <w:tcBorders>
              <w:top w:val="nil"/>
              <w:left w:val="nil"/>
              <w:bottom w:val="nil"/>
              <w:right w:val="nil"/>
            </w:tcBorders>
            <w:shd w:val="clear" w:color="auto" w:fill="auto"/>
            <w:noWrap/>
            <w:vAlign w:val="center"/>
            <w:hideMark/>
          </w:tcPr>
          <w:p w14:paraId="14632C06"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3B9CA4A4" w14:textId="7E66E42F"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EBS</w:t>
            </w:r>
          </w:p>
        </w:tc>
        <w:tc>
          <w:tcPr>
            <w:tcW w:w="0" w:type="auto"/>
            <w:tcBorders>
              <w:top w:val="nil"/>
              <w:left w:val="nil"/>
              <w:bottom w:val="nil"/>
              <w:right w:val="nil"/>
            </w:tcBorders>
            <w:shd w:val="clear" w:color="auto" w:fill="auto"/>
            <w:noWrap/>
            <w:vAlign w:val="center"/>
            <w:hideMark/>
          </w:tcPr>
          <w:p w14:paraId="036505D8"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P13</w:t>
            </w:r>
          </w:p>
        </w:tc>
        <w:tc>
          <w:tcPr>
            <w:tcW w:w="0" w:type="auto"/>
            <w:tcBorders>
              <w:top w:val="nil"/>
              <w:left w:val="nil"/>
              <w:bottom w:val="nil"/>
              <w:right w:val="nil"/>
            </w:tcBorders>
            <w:shd w:val="clear" w:color="auto" w:fill="auto"/>
            <w:noWrap/>
            <w:vAlign w:val="center"/>
            <w:hideMark/>
          </w:tcPr>
          <w:p w14:paraId="559DCFE9"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97,33</w:t>
            </w:r>
          </w:p>
        </w:tc>
      </w:tr>
      <w:tr w:rsidR="00520B89" w:rsidRPr="00520B89" w14:paraId="516A1233" w14:textId="77777777" w:rsidTr="00520B89">
        <w:trPr>
          <w:trHeight w:val="288"/>
        </w:trPr>
        <w:tc>
          <w:tcPr>
            <w:tcW w:w="0" w:type="auto"/>
            <w:tcBorders>
              <w:top w:val="nil"/>
              <w:left w:val="nil"/>
              <w:bottom w:val="nil"/>
              <w:right w:val="nil"/>
            </w:tcBorders>
            <w:shd w:val="clear" w:color="auto" w:fill="auto"/>
            <w:noWrap/>
            <w:vAlign w:val="center"/>
            <w:hideMark/>
          </w:tcPr>
          <w:p w14:paraId="420956A7"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DNI</w:t>
            </w:r>
          </w:p>
        </w:tc>
        <w:tc>
          <w:tcPr>
            <w:tcW w:w="0" w:type="auto"/>
            <w:tcBorders>
              <w:top w:val="nil"/>
              <w:left w:val="nil"/>
              <w:bottom w:val="nil"/>
              <w:right w:val="nil"/>
            </w:tcBorders>
            <w:shd w:val="clear" w:color="auto" w:fill="auto"/>
            <w:noWrap/>
            <w:vAlign w:val="center"/>
            <w:hideMark/>
          </w:tcPr>
          <w:p w14:paraId="7B4E26D2"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P05</w:t>
            </w:r>
          </w:p>
        </w:tc>
        <w:tc>
          <w:tcPr>
            <w:tcW w:w="0" w:type="auto"/>
            <w:tcBorders>
              <w:top w:val="nil"/>
              <w:left w:val="nil"/>
              <w:bottom w:val="nil"/>
              <w:right w:val="nil"/>
            </w:tcBorders>
            <w:shd w:val="clear" w:color="auto" w:fill="auto"/>
            <w:noWrap/>
            <w:vAlign w:val="center"/>
            <w:hideMark/>
          </w:tcPr>
          <w:p w14:paraId="0034448C"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80,30</w:t>
            </w:r>
          </w:p>
        </w:tc>
        <w:tc>
          <w:tcPr>
            <w:tcW w:w="0" w:type="auto"/>
            <w:tcBorders>
              <w:top w:val="nil"/>
              <w:left w:val="nil"/>
              <w:bottom w:val="nil"/>
              <w:right w:val="nil"/>
            </w:tcBorders>
            <w:shd w:val="clear" w:color="auto" w:fill="auto"/>
            <w:noWrap/>
            <w:vAlign w:val="center"/>
            <w:hideMark/>
          </w:tcPr>
          <w:p w14:paraId="703664E1" w14:textId="77777777" w:rsidR="00790498" w:rsidRPr="00520B89" w:rsidRDefault="00790498" w:rsidP="00520B89">
            <w:pPr>
              <w:spacing w:line="360" w:lineRule="auto"/>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71C90A84"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HMV</w:t>
            </w:r>
          </w:p>
        </w:tc>
        <w:tc>
          <w:tcPr>
            <w:tcW w:w="0" w:type="auto"/>
            <w:tcBorders>
              <w:top w:val="nil"/>
              <w:left w:val="nil"/>
              <w:bottom w:val="nil"/>
              <w:right w:val="nil"/>
            </w:tcBorders>
            <w:shd w:val="clear" w:color="auto" w:fill="auto"/>
            <w:noWrap/>
            <w:vAlign w:val="center"/>
            <w:hideMark/>
          </w:tcPr>
          <w:p w14:paraId="48A55F11"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P02</w:t>
            </w:r>
          </w:p>
        </w:tc>
        <w:tc>
          <w:tcPr>
            <w:tcW w:w="0" w:type="auto"/>
            <w:tcBorders>
              <w:top w:val="nil"/>
              <w:left w:val="nil"/>
              <w:bottom w:val="nil"/>
              <w:right w:val="nil"/>
            </w:tcBorders>
            <w:shd w:val="clear" w:color="auto" w:fill="auto"/>
            <w:noWrap/>
            <w:vAlign w:val="center"/>
            <w:hideMark/>
          </w:tcPr>
          <w:p w14:paraId="0B3CE56C"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95,58</w:t>
            </w:r>
          </w:p>
        </w:tc>
        <w:tc>
          <w:tcPr>
            <w:tcW w:w="0" w:type="auto"/>
            <w:tcBorders>
              <w:top w:val="nil"/>
              <w:left w:val="nil"/>
              <w:bottom w:val="nil"/>
              <w:right w:val="nil"/>
            </w:tcBorders>
            <w:shd w:val="clear" w:color="auto" w:fill="auto"/>
            <w:noWrap/>
            <w:vAlign w:val="center"/>
            <w:hideMark/>
          </w:tcPr>
          <w:p w14:paraId="3A3A1655" w14:textId="77777777" w:rsidR="00790498" w:rsidRPr="00520B89" w:rsidRDefault="00790498" w:rsidP="00520B89">
            <w:pPr>
              <w:spacing w:line="360" w:lineRule="auto"/>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61779A43"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EBS</w:t>
            </w:r>
          </w:p>
        </w:tc>
        <w:tc>
          <w:tcPr>
            <w:tcW w:w="0" w:type="auto"/>
            <w:tcBorders>
              <w:top w:val="nil"/>
              <w:left w:val="nil"/>
              <w:bottom w:val="nil"/>
              <w:right w:val="nil"/>
            </w:tcBorders>
            <w:shd w:val="clear" w:color="auto" w:fill="auto"/>
            <w:noWrap/>
            <w:vAlign w:val="center"/>
            <w:hideMark/>
          </w:tcPr>
          <w:p w14:paraId="4465DEF2"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P14</w:t>
            </w:r>
          </w:p>
        </w:tc>
        <w:tc>
          <w:tcPr>
            <w:tcW w:w="0" w:type="auto"/>
            <w:tcBorders>
              <w:top w:val="nil"/>
              <w:left w:val="nil"/>
              <w:bottom w:val="nil"/>
              <w:right w:val="nil"/>
            </w:tcBorders>
            <w:shd w:val="clear" w:color="auto" w:fill="auto"/>
            <w:noWrap/>
            <w:vAlign w:val="center"/>
            <w:hideMark/>
          </w:tcPr>
          <w:p w14:paraId="1326C541"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96,96</w:t>
            </w:r>
          </w:p>
        </w:tc>
      </w:tr>
      <w:tr w:rsidR="00520B89" w:rsidRPr="00520B89" w14:paraId="5D2CB251" w14:textId="77777777" w:rsidTr="00520B89">
        <w:trPr>
          <w:trHeight w:val="288"/>
        </w:trPr>
        <w:tc>
          <w:tcPr>
            <w:tcW w:w="0" w:type="auto"/>
            <w:tcBorders>
              <w:top w:val="nil"/>
              <w:left w:val="nil"/>
              <w:bottom w:val="nil"/>
              <w:right w:val="nil"/>
            </w:tcBorders>
            <w:shd w:val="clear" w:color="auto" w:fill="auto"/>
            <w:noWrap/>
            <w:vAlign w:val="center"/>
            <w:hideMark/>
          </w:tcPr>
          <w:p w14:paraId="6D490238"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DNI</w:t>
            </w:r>
          </w:p>
        </w:tc>
        <w:tc>
          <w:tcPr>
            <w:tcW w:w="0" w:type="auto"/>
            <w:tcBorders>
              <w:top w:val="nil"/>
              <w:left w:val="nil"/>
              <w:bottom w:val="nil"/>
              <w:right w:val="nil"/>
            </w:tcBorders>
            <w:shd w:val="clear" w:color="auto" w:fill="auto"/>
            <w:noWrap/>
            <w:vAlign w:val="center"/>
            <w:hideMark/>
          </w:tcPr>
          <w:p w14:paraId="24E71A6D"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P06</w:t>
            </w:r>
          </w:p>
        </w:tc>
        <w:tc>
          <w:tcPr>
            <w:tcW w:w="0" w:type="auto"/>
            <w:tcBorders>
              <w:top w:val="nil"/>
              <w:left w:val="nil"/>
              <w:bottom w:val="nil"/>
              <w:right w:val="nil"/>
            </w:tcBorders>
            <w:shd w:val="clear" w:color="auto" w:fill="auto"/>
            <w:noWrap/>
            <w:vAlign w:val="center"/>
            <w:hideMark/>
          </w:tcPr>
          <w:p w14:paraId="50ED99A5"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89,28</w:t>
            </w:r>
          </w:p>
        </w:tc>
        <w:tc>
          <w:tcPr>
            <w:tcW w:w="0" w:type="auto"/>
            <w:tcBorders>
              <w:top w:val="nil"/>
              <w:left w:val="nil"/>
              <w:bottom w:val="nil"/>
              <w:right w:val="nil"/>
            </w:tcBorders>
            <w:shd w:val="clear" w:color="auto" w:fill="auto"/>
            <w:noWrap/>
            <w:vAlign w:val="center"/>
            <w:hideMark/>
          </w:tcPr>
          <w:p w14:paraId="462C24CF"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268CF92F"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HMV</w:t>
            </w:r>
          </w:p>
        </w:tc>
        <w:tc>
          <w:tcPr>
            <w:tcW w:w="0" w:type="auto"/>
            <w:tcBorders>
              <w:top w:val="nil"/>
              <w:left w:val="nil"/>
              <w:bottom w:val="nil"/>
              <w:right w:val="nil"/>
            </w:tcBorders>
            <w:shd w:val="clear" w:color="auto" w:fill="auto"/>
            <w:noWrap/>
            <w:vAlign w:val="center"/>
            <w:hideMark/>
          </w:tcPr>
          <w:p w14:paraId="09404DB4"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P03</w:t>
            </w:r>
          </w:p>
        </w:tc>
        <w:tc>
          <w:tcPr>
            <w:tcW w:w="0" w:type="auto"/>
            <w:tcBorders>
              <w:top w:val="nil"/>
              <w:left w:val="nil"/>
              <w:bottom w:val="nil"/>
              <w:right w:val="nil"/>
            </w:tcBorders>
            <w:shd w:val="clear" w:color="auto" w:fill="auto"/>
            <w:noWrap/>
            <w:vAlign w:val="center"/>
            <w:hideMark/>
          </w:tcPr>
          <w:p w14:paraId="02F1ACC4"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96,56</w:t>
            </w:r>
          </w:p>
        </w:tc>
        <w:tc>
          <w:tcPr>
            <w:tcW w:w="0" w:type="auto"/>
            <w:tcBorders>
              <w:top w:val="nil"/>
              <w:left w:val="nil"/>
              <w:bottom w:val="nil"/>
              <w:right w:val="nil"/>
            </w:tcBorders>
            <w:shd w:val="clear" w:color="auto" w:fill="auto"/>
            <w:noWrap/>
            <w:vAlign w:val="center"/>
            <w:hideMark/>
          </w:tcPr>
          <w:p w14:paraId="0C7D7B6D"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44F4BC1F"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EBS</w:t>
            </w:r>
          </w:p>
        </w:tc>
        <w:tc>
          <w:tcPr>
            <w:tcW w:w="0" w:type="auto"/>
            <w:tcBorders>
              <w:top w:val="nil"/>
              <w:left w:val="nil"/>
              <w:bottom w:val="nil"/>
              <w:right w:val="nil"/>
            </w:tcBorders>
            <w:shd w:val="clear" w:color="auto" w:fill="auto"/>
            <w:noWrap/>
            <w:vAlign w:val="center"/>
            <w:hideMark/>
          </w:tcPr>
          <w:p w14:paraId="7BE1D295"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P15</w:t>
            </w:r>
          </w:p>
        </w:tc>
        <w:tc>
          <w:tcPr>
            <w:tcW w:w="0" w:type="auto"/>
            <w:tcBorders>
              <w:top w:val="nil"/>
              <w:left w:val="nil"/>
              <w:bottom w:val="nil"/>
              <w:right w:val="nil"/>
            </w:tcBorders>
            <w:shd w:val="clear" w:color="auto" w:fill="auto"/>
            <w:noWrap/>
            <w:vAlign w:val="center"/>
            <w:hideMark/>
          </w:tcPr>
          <w:p w14:paraId="21588D2D"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96,58</w:t>
            </w:r>
          </w:p>
        </w:tc>
      </w:tr>
      <w:tr w:rsidR="00520B89" w:rsidRPr="00520B89" w14:paraId="62129B3F" w14:textId="77777777" w:rsidTr="00520B89">
        <w:trPr>
          <w:trHeight w:val="288"/>
        </w:trPr>
        <w:tc>
          <w:tcPr>
            <w:tcW w:w="0" w:type="auto"/>
            <w:tcBorders>
              <w:top w:val="nil"/>
              <w:left w:val="nil"/>
              <w:bottom w:val="nil"/>
              <w:right w:val="nil"/>
            </w:tcBorders>
            <w:shd w:val="clear" w:color="auto" w:fill="auto"/>
            <w:noWrap/>
            <w:vAlign w:val="center"/>
            <w:hideMark/>
          </w:tcPr>
          <w:p w14:paraId="16C1A565"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DNI</w:t>
            </w:r>
          </w:p>
        </w:tc>
        <w:tc>
          <w:tcPr>
            <w:tcW w:w="0" w:type="auto"/>
            <w:tcBorders>
              <w:top w:val="nil"/>
              <w:left w:val="nil"/>
              <w:bottom w:val="nil"/>
              <w:right w:val="nil"/>
            </w:tcBorders>
            <w:shd w:val="clear" w:color="auto" w:fill="auto"/>
            <w:noWrap/>
            <w:vAlign w:val="center"/>
            <w:hideMark/>
          </w:tcPr>
          <w:p w14:paraId="1DF2D09C"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P07</w:t>
            </w:r>
          </w:p>
        </w:tc>
        <w:tc>
          <w:tcPr>
            <w:tcW w:w="0" w:type="auto"/>
            <w:tcBorders>
              <w:top w:val="nil"/>
              <w:left w:val="nil"/>
              <w:bottom w:val="nil"/>
              <w:right w:val="nil"/>
            </w:tcBorders>
            <w:shd w:val="clear" w:color="auto" w:fill="auto"/>
            <w:noWrap/>
            <w:vAlign w:val="center"/>
            <w:hideMark/>
          </w:tcPr>
          <w:p w14:paraId="0739BE00"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92,24</w:t>
            </w:r>
          </w:p>
        </w:tc>
        <w:tc>
          <w:tcPr>
            <w:tcW w:w="0" w:type="auto"/>
            <w:tcBorders>
              <w:top w:val="nil"/>
              <w:left w:val="nil"/>
              <w:bottom w:val="nil"/>
              <w:right w:val="nil"/>
            </w:tcBorders>
            <w:shd w:val="clear" w:color="auto" w:fill="auto"/>
            <w:noWrap/>
            <w:vAlign w:val="center"/>
            <w:hideMark/>
          </w:tcPr>
          <w:p w14:paraId="4D3ACADC"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638530FD"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HMV</w:t>
            </w:r>
          </w:p>
        </w:tc>
        <w:tc>
          <w:tcPr>
            <w:tcW w:w="0" w:type="auto"/>
            <w:tcBorders>
              <w:top w:val="nil"/>
              <w:left w:val="nil"/>
              <w:bottom w:val="nil"/>
              <w:right w:val="nil"/>
            </w:tcBorders>
            <w:shd w:val="clear" w:color="auto" w:fill="auto"/>
            <w:noWrap/>
            <w:vAlign w:val="center"/>
            <w:hideMark/>
          </w:tcPr>
          <w:p w14:paraId="07B5364D"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P04</w:t>
            </w:r>
          </w:p>
        </w:tc>
        <w:tc>
          <w:tcPr>
            <w:tcW w:w="0" w:type="auto"/>
            <w:tcBorders>
              <w:top w:val="nil"/>
              <w:left w:val="nil"/>
              <w:bottom w:val="nil"/>
              <w:right w:val="nil"/>
            </w:tcBorders>
            <w:shd w:val="clear" w:color="auto" w:fill="auto"/>
            <w:noWrap/>
            <w:vAlign w:val="center"/>
            <w:hideMark/>
          </w:tcPr>
          <w:p w14:paraId="4DF0DA06"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93,69</w:t>
            </w:r>
          </w:p>
        </w:tc>
        <w:tc>
          <w:tcPr>
            <w:tcW w:w="0" w:type="auto"/>
            <w:tcBorders>
              <w:top w:val="nil"/>
              <w:left w:val="nil"/>
              <w:bottom w:val="nil"/>
              <w:right w:val="nil"/>
            </w:tcBorders>
            <w:shd w:val="clear" w:color="auto" w:fill="auto"/>
            <w:noWrap/>
            <w:vAlign w:val="center"/>
            <w:hideMark/>
          </w:tcPr>
          <w:p w14:paraId="2BE8FEE8"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2487E53F"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EBS</w:t>
            </w:r>
          </w:p>
        </w:tc>
        <w:tc>
          <w:tcPr>
            <w:tcW w:w="0" w:type="auto"/>
            <w:tcBorders>
              <w:top w:val="nil"/>
              <w:left w:val="nil"/>
              <w:bottom w:val="nil"/>
              <w:right w:val="nil"/>
            </w:tcBorders>
            <w:shd w:val="clear" w:color="auto" w:fill="auto"/>
            <w:noWrap/>
            <w:vAlign w:val="center"/>
            <w:hideMark/>
          </w:tcPr>
          <w:p w14:paraId="0C7268FF"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P18</w:t>
            </w:r>
          </w:p>
        </w:tc>
        <w:tc>
          <w:tcPr>
            <w:tcW w:w="0" w:type="auto"/>
            <w:tcBorders>
              <w:top w:val="nil"/>
              <w:left w:val="nil"/>
              <w:bottom w:val="nil"/>
              <w:right w:val="nil"/>
            </w:tcBorders>
            <w:shd w:val="clear" w:color="auto" w:fill="auto"/>
            <w:noWrap/>
            <w:vAlign w:val="center"/>
            <w:hideMark/>
          </w:tcPr>
          <w:p w14:paraId="1C32C093"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97,97</w:t>
            </w:r>
          </w:p>
        </w:tc>
      </w:tr>
      <w:tr w:rsidR="00520B89" w:rsidRPr="00520B89" w14:paraId="1E3DE816" w14:textId="77777777" w:rsidTr="00520B89">
        <w:trPr>
          <w:trHeight w:val="288"/>
        </w:trPr>
        <w:tc>
          <w:tcPr>
            <w:tcW w:w="0" w:type="auto"/>
            <w:tcBorders>
              <w:top w:val="nil"/>
              <w:left w:val="nil"/>
              <w:bottom w:val="single" w:sz="4" w:space="0" w:color="auto"/>
              <w:right w:val="nil"/>
            </w:tcBorders>
            <w:shd w:val="clear" w:color="auto" w:fill="auto"/>
            <w:noWrap/>
            <w:vAlign w:val="center"/>
            <w:hideMark/>
          </w:tcPr>
          <w:p w14:paraId="7EDAA38A"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DNI</w:t>
            </w:r>
          </w:p>
        </w:tc>
        <w:tc>
          <w:tcPr>
            <w:tcW w:w="0" w:type="auto"/>
            <w:tcBorders>
              <w:top w:val="nil"/>
              <w:left w:val="nil"/>
              <w:bottom w:val="single" w:sz="4" w:space="0" w:color="auto"/>
              <w:right w:val="nil"/>
            </w:tcBorders>
            <w:shd w:val="clear" w:color="auto" w:fill="auto"/>
            <w:noWrap/>
            <w:vAlign w:val="center"/>
            <w:hideMark/>
          </w:tcPr>
          <w:p w14:paraId="24C0D54D"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P08</w:t>
            </w:r>
          </w:p>
        </w:tc>
        <w:tc>
          <w:tcPr>
            <w:tcW w:w="0" w:type="auto"/>
            <w:tcBorders>
              <w:top w:val="nil"/>
              <w:left w:val="nil"/>
              <w:bottom w:val="single" w:sz="4" w:space="0" w:color="auto"/>
              <w:right w:val="nil"/>
            </w:tcBorders>
            <w:shd w:val="clear" w:color="auto" w:fill="auto"/>
            <w:noWrap/>
            <w:vAlign w:val="center"/>
            <w:hideMark/>
          </w:tcPr>
          <w:p w14:paraId="14C3C1AB"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94,29</w:t>
            </w:r>
          </w:p>
        </w:tc>
        <w:tc>
          <w:tcPr>
            <w:tcW w:w="0" w:type="auto"/>
            <w:tcBorders>
              <w:top w:val="nil"/>
              <w:left w:val="nil"/>
              <w:bottom w:val="nil"/>
              <w:right w:val="nil"/>
            </w:tcBorders>
            <w:shd w:val="clear" w:color="auto" w:fill="auto"/>
            <w:noWrap/>
            <w:vAlign w:val="center"/>
            <w:hideMark/>
          </w:tcPr>
          <w:p w14:paraId="34E976AB"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7B7A44C6"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HMV</w:t>
            </w:r>
          </w:p>
        </w:tc>
        <w:tc>
          <w:tcPr>
            <w:tcW w:w="0" w:type="auto"/>
            <w:tcBorders>
              <w:top w:val="nil"/>
              <w:left w:val="nil"/>
              <w:bottom w:val="nil"/>
              <w:right w:val="nil"/>
            </w:tcBorders>
            <w:shd w:val="clear" w:color="auto" w:fill="auto"/>
            <w:noWrap/>
            <w:vAlign w:val="center"/>
            <w:hideMark/>
          </w:tcPr>
          <w:p w14:paraId="1CAD6B26"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P05</w:t>
            </w:r>
          </w:p>
        </w:tc>
        <w:tc>
          <w:tcPr>
            <w:tcW w:w="0" w:type="auto"/>
            <w:tcBorders>
              <w:top w:val="nil"/>
              <w:left w:val="nil"/>
              <w:bottom w:val="nil"/>
              <w:right w:val="nil"/>
            </w:tcBorders>
            <w:shd w:val="clear" w:color="auto" w:fill="auto"/>
            <w:noWrap/>
            <w:vAlign w:val="center"/>
            <w:hideMark/>
          </w:tcPr>
          <w:p w14:paraId="43F4572A"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96,92</w:t>
            </w:r>
          </w:p>
        </w:tc>
        <w:tc>
          <w:tcPr>
            <w:tcW w:w="0" w:type="auto"/>
            <w:tcBorders>
              <w:top w:val="nil"/>
              <w:left w:val="nil"/>
              <w:bottom w:val="nil"/>
              <w:right w:val="nil"/>
            </w:tcBorders>
            <w:shd w:val="clear" w:color="auto" w:fill="auto"/>
            <w:noWrap/>
            <w:vAlign w:val="center"/>
            <w:hideMark/>
          </w:tcPr>
          <w:p w14:paraId="0FC0AF3E"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6E0F8DDA"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EBS</w:t>
            </w:r>
          </w:p>
        </w:tc>
        <w:tc>
          <w:tcPr>
            <w:tcW w:w="0" w:type="auto"/>
            <w:tcBorders>
              <w:top w:val="nil"/>
              <w:left w:val="nil"/>
              <w:bottom w:val="nil"/>
              <w:right w:val="nil"/>
            </w:tcBorders>
            <w:shd w:val="clear" w:color="auto" w:fill="auto"/>
            <w:noWrap/>
            <w:vAlign w:val="center"/>
            <w:hideMark/>
          </w:tcPr>
          <w:p w14:paraId="65C1C41A"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P19</w:t>
            </w:r>
          </w:p>
        </w:tc>
        <w:tc>
          <w:tcPr>
            <w:tcW w:w="0" w:type="auto"/>
            <w:tcBorders>
              <w:top w:val="nil"/>
              <w:left w:val="nil"/>
              <w:bottom w:val="nil"/>
              <w:right w:val="nil"/>
            </w:tcBorders>
            <w:shd w:val="clear" w:color="auto" w:fill="auto"/>
            <w:noWrap/>
            <w:vAlign w:val="center"/>
            <w:hideMark/>
          </w:tcPr>
          <w:p w14:paraId="558D0677"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97,71</w:t>
            </w:r>
          </w:p>
        </w:tc>
      </w:tr>
      <w:tr w:rsidR="00520B89" w:rsidRPr="00520B89" w14:paraId="1755196B" w14:textId="77777777" w:rsidTr="00520B89">
        <w:trPr>
          <w:trHeight w:val="288"/>
        </w:trPr>
        <w:tc>
          <w:tcPr>
            <w:tcW w:w="0" w:type="auto"/>
            <w:tcBorders>
              <w:top w:val="nil"/>
              <w:left w:val="nil"/>
              <w:bottom w:val="nil"/>
              <w:right w:val="nil"/>
            </w:tcBorders>
            <w:shd w:val="clear" w:color="auto" w:fill="auto"/>
            <w:noWrap/>
            <w:vAlign w:val="center"/>
            <w:hideMark/>
          </w:tcPr>
          <w:p w14:paraId="47FD5A33"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FLR</w:t>
            </w:r>
          </w:p>
        </w:tc>
        <w:tc>
          <w:tcPr>
            <w:tcW w:w="0" w:type="auto"/>
            <w:tcBorders>
              <w:top w:val="nil"/>
              <w:left w:val="nil"/>
              <w:bottom w:val="nil"/>
              <w:right w:val="nil"/>
            </w:tcBorders>
            <w:shd w:val="clear" w:color="auto" w:fill="auto"/>
            <w:noWrap/>
            <w:vAlign w:val="center"/>
            <w:hideMark/>
          </w:tcPr>
          <w:p w14:paraId="5D7A37EF"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P01</w:t>
            </w:r>
          </w:p>
        </w:tc>
        <w:tc>
          <w:tcPr>
            <w:tcW w:w="0" w:type="auto"/>
            <w:tcBorders>
              <w:top w:val="nil"/>
              <w:left w:val="nil"/>
              <w:bottom w:val="nil"/>
              <w:right w:val="nil"/>
            </w:tcBorders>
            <w:shd w:val="clear" w:color="auto" w:fill="auto"/>
            <w:noWrap/>
            <w:vAlign w:val="center"/>
            <w:hideMark/>
          </w:tcPr>
          <w:p w14:paraId="34C0AAC2"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94,30</w:t>
            </w:r>
          </w:p>
        </w:tc>
        <w:tc>
          <w:tcPr>
            <w:tcW w:w="0" w:type="auto"/>
            <w:tcBorders>
              <w:top w:val="nil"/>
              <w:left w:val="nil"/>
              <w:bottom w:val="nil"/>
              <w:right w:val="nil"/>
            </w:tcBorders>
            <w:shd w:val="clear" w:color="auto" w:fill="auto"/>
            <w:noWrap/>
            <w:vAlign w:val="center"/>
            <w:hideMark/>
          </w:tcPr>
          <w:p w14:paraId="5E63B3A2"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31EF41EB"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HMV</w:t>
            </w:r>
          </w:p>
        </w:tc>
        <w:tc>
          <w:tcPr>
            <w:tcW w:w="0" w:type="auto"/>
            <w:tcBorders>
              <w:top w:val="nil"/>
              <w:left w:val="nil"/>
              <w:bottom w:val="nil"/>
              <w:right w:val="nil"/>
            </w:tcBorders>
            <w:shd w:val="clear" w:color="auto" w:fill="auto"/>
            <w:noWrap/>
            <w:vAlign w:val="center"/>
            <w:hideMark/>
          </w:tcPr>
          <w:p w14:paraId="42C095B5"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P06</w:t>
            </w:r>
          </w:p>
        </w:tc>
        <w:tc>
          <w:tcPr>
            <w:tcW w:w="0" w:type="auto"/>
            <w:tcBorders>
              <w:top w:val="nil"/>
              <w:left w:val="nil"/>
              <w:bottom w:val="nil"/>
              <w:right w:val="nil"/>
            </w:tcBorders>
            <w:shd w:val="clear" w:color="auto" w:fill="auto"/>
            <w:noWrap/>
            <w:vAlign w:val="center"/>
            <w:hideMark/>
          </w:tcPr>
          <w:p w14:paraId="713C2993"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96,52</w:t>
            </w:r>
          </w:p>
        </w:tc>
        <w:tc>
          <w:tcPr>
            <w:tcW w:w="0" w:type="auto"/>
            <w:tcBorders>
              <w:top w:val="nil"/>
              <w:left w:val="nil"/>
              <w:bottom w:val="nil"/>
              <w:right w:val="nil"/>
            </w:tcBorders>
            <w:shd w:val="clear" w:color="auto" w:fill="auto"/>
            <w:noWrap/>
            <w:vAlign w:val="center"/>
            <w:hideMark/>
          </w:tcPr>
          <w:p w14:paraId="2C13F107"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14126081"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EBS</w:t>
            </w:r>
          </w:p>
        </w:tc>
        <w:tc>
          <w:tcPr>
            <w:tcW w:w="0" w:type="auto"/>
            <w:tcBorders>
              <w:top w:val="nil"/>
              <w:left w:val="nil"/>
              <w:bottom w:val="nil"/>
              <w:right w:val="nil"/>
            </w:tcBorders>
            <w:shd w:val="clear" w:color="auto" w:fill="auto"/>
            <w:noWrap/>
            <w:vAlign w:val="center"/>
            <w:hideMark/>
          </w:tcPr>
          <w:p w14:paraId="200CE8DE"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P21</w:t>
            </w:r>
          </w:p>
        </w:tc>
        <w:tc>
          <w:tcPr>
            <w:tcW w:w="0" w:type="auto"/>
            <w:tcBorders>
              <w:top w:val="nil"/>
              <w:left w:val="nil"/>
              <w:bottom w:val="nil"/>
              <w:right w:val="nil"/>
            </w:tcBorders>
            <w:shd w:val="clear" w:color="auto" w:fill="auto"/>
            <w:noWrap/>
            <w:vAlign w:val="center"/>
            <w:hideMark/>
          </w:tcPr>
          <w:p w14:paraId="2A4E4260"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96,70</w:t>
            </w:r>
          </w:p>
        </w:tc>
      </w:tr>
      <w:tr w:rsidR="00520B89" w:rsidRPr="00520B89" w14:paraId="2F441F59" w14:textId="77777777" w:rsidTr="00520B89">
        <w:trPr>
          <w:trHeight w:val="288"/>
        </w:trPr>
        <w:tc>
          <w:tcPr>
            <w:tcW w:w="0" w:type="auto"/>
            <w:tcBorders>
              <w:top w:val="nil"/>
              <w:left w:val="nil"/>
              <w:bottom w:val="nil"/>
              <w:right w:val="nil"/>
            </w:tcBorders>
            <w:shd w:val="clear" w:color="auto" w:fill="auto"/>
            <w:noWrap/>
            <w:vAlign w:val="center"/>
            <w:hideMark/>
          </w:tcPr>
          <w:p w14:paraId="36BCEEB8"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FLR</w:t>
            </w:r>
          </w:p>
        </w:tc>
        <w:tc>
          <w:tcPr>
            <w:tcW w:w="0" w:type="auto"/>
            <w:tcBorders>
              <w:top w:val="nil"/>
              <w:left w:val="nil"/>
              <w:bottom w:val="nil"/>
              <w:right w:val="nil"/>
            </w:tcBorders>
            <w:shd w:val="clear" w:color="auto" w:fill="auto"/>
            <w:noWrap/>
            <w:vAlign w:val="center"/>
            <w:hideMark/>
          </w:tcPr>
          <w:p w14:paraId="091EE250"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P02</w:t>
            </w:r>
          </w:p>
        </w:tc>
        <w:tc>
          <w:tcPr>
            <w:tcW w:w="0" w:type="auto"/>
            <w:tcBorders>
              <w:top w:val="nil"/>
              <w:left w:val="nil"/>
              <w:bottom w:val="nil"/>
              <w:right w:val="nil"/>
            </w:tcBorders>
            <w:shd w:val="clear" w:color="auto" w:fill="auto"/>
            <w:noWrap/>
            <w:vAlign w:val="center"/>
            <w:hideMark/>
          </w:tcPr>
          <w:p w14:paraId="00DCC5E6"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96,78</w:t>
            </w:r>
          </w:p>
        </w:tc>
        <w:tc>
          <w:tcPr>
            <w:tcW w:w="0" w:type="auto"/>
            <w:tcBorders>
              <w:top w:val="nil"/>
              <w:left w:val="nil"/>
              <w:bottom w:val="nil"/>
              <w:right w:val="nil"/>
            </w:tcBorders>
            <w:shd w:val="clear" w:color="auto" w:fill="auto"/>
            <w:noWrap/>
            <w:vAlign w:val="center"/>
            <w:hideMark/>
          </w:tcPr>
          <w:p w14:paraId="30A0A9D3" w14:textId="77777777" w:rsidR="00790498" w:rsidRPr="00520B89" w:rsidRDefault="00790498" w:rsidP="00520B89">
            <w:pPr>
              <w:spacing w:line="360" w:lineRule="auto"/>
              <w:jc w:val="center"/>
              <w:rPr>
                <w:rFonts w:ascii="Times New Roman" w:hAnsi="Times New Roman" w:cs="Times New Roman"/>
                <w:sz w:val="24"/>
                <w:szCs w:val="24"/>
              </w:rPr>
            </w:pPr>
          </w:p>
        </w:tc>
        <w:tc>
          <w:tcPr>
            <w:tcW w:w="0" w:type="auto"/>
            <w:tcBorders>
              <w:top w:val="nil"/>
              <w:left w:val="nil"/>
              <w:bottom w:val="single" w:sz="4" w:space="0" w:color="auto"/>
              <w:right w:val="nil"/>
            </w:tcBorders>
            <w:shd w:val="clear" w:color="auto" w:fill="auto"/>
            <w:noWrap/>
            <w:vAlign w:val="center"/>
            <w:hideMark/>
          </w:tcPr>
          <w:p w14:paraId="1E9FD002"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HMV</w:t>
            </w:r>
          </w:p>
        </w:tc>
        <w:tc>
          <w:tcPr>
            <w:tcW w:w="0" w:type="auto"/>
            <w:tcBorders>
              <w:top w:val="nil"/>
              <w:left w:val="nil"/>
              <w:bottom w:val="single" w:sz="4" w:space="0" w:color="auto"/>
              <w:right w:val="nil"/>
            </w:tcBorders>
            <w:shd w:val="clear" w:color="auto" w:fill="auto"/>
            <w:noWrap/>
            <w:vAlign w:val="center"/>
            <w:hideMark/>
          </w:tcPr>
          <w:p w14:paraId="73FB9F39"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P07</w:t>
            </w:r>
          </w:p>
        </w:tc>
        <w:tc>
          <w:tcPr>
            <w:tcW w:w="0" w:type="auto"/>
            <w:tcBorders>
              <w:top w:val="nil"/>
              <w:left w:val="nil"/>
              <w:bottom w:val="single" w:sz="4" w:space="0" w:color="auto"/>
              <w:right w:val="nil"/>
            </w:tcBorders>
            <w:shd w:val="clear" w:color="auto" w:fill="auto"/>
            <w:noWrap/>
            <w:vAlign w:val="center"/>
            <w:hideMark/>
          </w:tcPr>
          <w:p w14:paraId="171842A3"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96,28</w:t>
            </w:r>
          </w:p>
        </w:tc>
        <w:tc>
          <w:tcPr>
            <w:tcW w:w="0" w:type="auto"/>
            <w:tcBorders>
              <w:top w:val="nil"/>
              <w:left w:val="nil"/>
              <w:bottom w:val="nil"/>
              <w:right w:val="nil"/>
            </w:tcBorders>
            <w:shd w:val="clear" w:color="auto" w:fill="auto"/>
            <w:noWrap/>
            <w:vAlign w:val="center"/>
            <w:hideMark/>
          </w:tcPr>
          <w:p w14:paraId="18C118E5" w14:textId="77777777" w:rsidR="00790498" w:rsidRPr="00520B89" w:rsidRDefault="00790498" w:rsidP="00520B89">
            <w:pPr>
              <w:spacing w:line="360" w:lineRule="auto"/>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42E4CD14"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EBS</w:t>
            </w:r>
          </w:p>
        </w:tc>
        <w:tc>
          <w:tcPr>
            <w:tcW w:w="0" w:type="auto"/>
            <w:tcBorders>
              <w:top w:val="nil"/>
              <w:left w:val="nil"/>
              <w:bottom w:val="nil"/>
              <w:right w:val="nil"/>
            </w:tcBorders>
            <w:shd w:val="clear" w:color="auto" w:fill="auto"/>
            <w:noWrap/>
            <w:vAlign w:val="center"/>
            <w:hideMark/>
          </w:tcPr>
          <w:p w14:paraId="5E9C4178"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P22</w:t>
            </w:r>
          </w:p>
        </w:tc>
        <w:tc>
          <w:tcPr>
            <w:tcW w:w="0" w:type="auto"/>
            <w:tcBorders>
              <w:top w:val="nil"/>
              <w:left w:val="nil"/>
              <w:bottom w:val="nil"/>
              <w:right w:val="nil"/>
            </w:tcBorders>
            <w:shd w:val="clear" w:color="auto" w:fill="auto"/>
            <w:noWrap/>
            <w:vAlign w:val="center"/>
            <w:hideMark/>
          </w:tcPr>
          <w:p w14:paraId="2B888431"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97,06</w:t>
            </w:r>
          </w:p>
        </w:tc>
      </w:tr>
      <w:tr w:rsidR="00520B89" w:rsidRPr="00520B89" w14:paraId="69862F3F" w14:textId="77777777" w:rsidTr="00520B89">
        <w:trPr>
          <w:trHeight w:val="288"/>
        </w:trPr>
        <w:tc>
          <w:tcPr>
            <w:tcW w:w="0" w:type="auto"/>
            <w:tcBorders>
              <w:top w:val="nil"/>
              <w:left w:val="nil"/>
              <w:bottom w:val="nil"/>
              <w:right w:val="nil"/>
            </w:tcBorders>
            <w:shd w:val="clear" w:color="auto" w:fill="auto"/>
            <w:noWrap/>
            <w:vAlign w:val="center"/>
            <w:hideMark/>
          </w:tcPr>
          <w:p w14:paraId="6373611D"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FLR</w:t>
            </w:r>
          </w:p>
        </w:tc>
        <w:tc>
          <w:tcPr>
            <w:tcW w:w="0" w:type="auto"/>
            <w:tcBorders>
              <w:top w:val="nil"/>
              <w:left w:val="nil"/>
              <w:bottom w:val="nil"/>
              <w:right w:val="nil"/>
            </w:tcBorders>
            <w:shd w:val="clear" w:color="auto" w:fill="auto"/>
            <w:noWrap/>
            <w:vAlign w:val="center"/>
            <w:hideMark/>
          </w:tcPr>
          <w:p w14:paraId="5C616FD3"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P03</w:t>
            </w:r>
          </w:p>
        </w:tc>
        <w:tc>
          <w:tcPr>
            <w:tcW w:w="0" w:type="auto"/>
            <w:tcBorders>
              <w:top w:val="nil"/>
              <w:left w:val="nil"/>
              <w:bottom w:val="nil"/>
              <w:right w:val="nil"/>
            </w:tcBorders>
            <w:shd w:val="clear" w:color="auto" w:fill="auto"/>
            <w:noWrap/>
            <w:vAlign w:val="center"/>
            <w:hideMark/>
          </w:tcPr>
          <w:p w14:paraId="210BC6C6"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97,02</w:t>
            </w:r>
          </w:p>
        </w:tc>
        <w:tc>
          <w:tcPr>
            <w:tcW w:w="0" w:type="auto"/>
            <w:tcBorders>
              <w:top w:val="nil"/>
              <w:left w:val="nil"/>
              <w:bottom w:val="nil"/>
              <w:right w:val="nil"/>
            </w:tcBorders>
            <w:shd w:val="clear" w:color="auto" w:fill="auto"/>
            <w:noWrap/>
            <w:vAlign w:val="center"/>
            <w:hideMark/>
          </w:tcPr>
          <w:p w14:paraId="5BD55A97"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230149B2"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VKN</w:t>
            </w:r>
          </w:p>
        </w:tc>
        <w:tc>
          <w:tcPr>
            <w:tcW w:w="0" w:type="auto"/>
            <w:tcBorders>
              <w:top w:val="nil"/>
              <w:left w:val="nil"/>
              <w:bottom w:val="nil"/>
              <w:right w:val="nil"/>
            </w:tcBorders>
            <w:shd w:val="clear" w:color="auto" w:fill="auto"/>
            <w:noWrap/>
            <w:vAlign w:val="center"/>
            <w:hideMark/>
          </w:tcPr>
          <w:p w14:paraId="0374E84A"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P04</w:t>
            </w:r>
          </w:p>
        </w:tc>
        <w:tc>
          <w:tcPr>
            <w:tcW w:w="0" w:type="auto"/>
            <w:tcBorders>
              <w:top w:val="nil"/>
              <w:left w:val="nil"/>
              <w:bottom w:val="nil"/>
              <w:right w:val="nil"/>
            </w:tcBorders>
            <w:shd w:val="clear" w:color="auto" w:fill="auto"/>
            <w:noWrap/>
            <w:vAlign w:val="center"/>
            <w:hideMark/>
          </w:tcPr>
          <w:p w14:paraId="37002252"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94,27</w:t>
            </w:r>
          </w:p>
        </w:tc>
        <w:tc>
          <w:tcPr>
            <w:tcW w:w="0" w:type="auto"/>
            <w:tcBorders>
              <w:top w:val="nil"/>
              <w:left w:val="nil"/>
              <w:bottom w:val="nil"/>
              <w:right w:val="nil"/>
            </w:tcBorders>
            <w:shd w:val="clear" w:color="auto" w:fill="auto"/>
            <w:noWrap/>
            <w:vAlign w:val="center"/>
            <w:hideMark/>
          </w:tcPr>
          <w:p w14:paraId="1B31698D"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51AAFDD2"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EBS</w:t>
            </w:r>
          </w:p>
        </w:tc>
        <w:tc>
          <w:tcPr>
            <w:tcW w:w="0" w:type="auto"/>
            <w:tcBorders>
              <w:top w:val="nil"/>
              <w:left w:val="nil"/>
              <w:bottom w:val="nil"/>
              <w:right w:val="nil"/>
            </w:tcBorders>
            <w:shd w:val="clear" w:color="auto" w:fill="auto"/>
            <w:noWrap/>
            <w:vAlign w:val="center"/>
            <w:hideMark/>
          </w:tcPr>
          <w:p w14:paraId="27D83297"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P23</w:t>
            </w:r>
          </w:p>
        </w:tc>
        <w:tc>
          <w:tcPr>
            <w:tcW w:w="0" w:type="auto"/>
            <w:tcBorders>
              <w:top w:val="nil"/>
              <w:left w:val="nil"/>
              <w:bottom w:val="nil"/>
              <w:right w:val="nil"/>
            </w:tcBorders>
            <w:shd w:val="clear" w:color="auto" w:fill="auto"/>
            <w:noWrap/>
            <w:vAlign w:val="center"/>
            <w:hideMark/>
          </w:tcPr>
          <w:p w14:paraId="2C198168"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96,99</w:t>
            </w:r>
          </w:p>
        </w:tc>
      </w:tr>
      <w:tr w:rsidR="00520B89" w:rsidRPr="00520B89" w14:paraId="66D2C767" w14:textId="77777777" w:rsidTr="00520B89">
        <w:trPr>
          <w:trHeight w:val="288"/>
        </w:trPr>
        <w:tc>
          <w:tcPr>
            <w:tcW w:w="0" w:type="auto"/>
            <w:tcBorders>
              <w:top w:val="nil"/>
              <w:left w:val="nil"/>
              <w:bottom w:val="nil"/>
              <w:right w:val="nil"/>
            </w:tcBorders>
            <w:shd w:val="clear" w:color="auto" w:fill="auto"/>
            <w:noWrap/>
            <w:vAlign w:val="center"/>
            <w:hideMark/>
          </w:tcPr>
          <w:p w14:paraId="5BCF7421"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FLR</w:t>
            </w:r>
          </w:p>
        </w:tc>
        <w:tc>
          <w:tcPr>
            <w:tcW w:w="0" w:type="auto"/>
            <w:tcBorders>
              <w:top w:val="nil"/>
              <w:left w:val="nil"/>
              <w:bottom w:val="nil"/>
              <w:right w:val="nil"/>
            </w:tcBorders>
            <w:shd w:val="clear" w:color="auto" w:fill="auto"/>
            <w:noWrap/>
            <w:vAlign w:val="center"/>
            <w:hideMark/>
          </w:tcPr>
          <w:p w14:paraId="40A6F393"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P04</w:t>
            </w:r>
          </w:p>
        </w:tc>
        <w:tc>
          <w:tcPr>
            <w:tcW w:w="0" w:type="auto"/>
            <w:tcBorders>
              <w:top w:val="nil"/>
              <w:left w:val="nil"/>
              <w:bottom w:val="nil"/>
              <w:right w:val="nil"/>
            </w:tcBorders>
            <w:shd w:val="clear" w:color="auto" w:fill="auto"/>
            <w:noWrap/>
            <w:vAlign w:val="center"/>
            <w:hideMark/>
          </w:tcPr>
          <w:p w14:paraId="5FDB2338"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88,39</w:t>
            </w:r>
          </w:p>
        </w:tc>
        <w:tc>
          <w:tcPr>
            <w:tcW w:w="0" w:type="auto"/>
            <w:tcBorders>
              <w:top w:val="nil"/>
              <w:left w:val="nil"/>
              <w:bottom w:val="nil"/>
              <w:right w:val="nil"/>
            </w:tcBorders>
            <w:shd w:val="clear" w:color="auto" w:fill="auto"/>
            <w:noWrap/>
            <w:vAlign w:val="center"/>
            <w:hideMark/>
          </w:tcPr>
          <w:p w14:paraId="74E30CDB"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457134E1"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VKN</w:t>
            </w:r>
          </w:p>
        </w:tc>
        <w:tc>
          <w:tcPr>
            <w:tcW w:w="0" w:type="auto"/>
            <w:tcBorders>
              <w:top w:val="nil"/>
              <w:left w:val="nil"/>
              <w:bottom w:val="nil"/>
              <w:right w:val="nil"/>
            </w:tcBorders>
            <w:shd w:val="clear" w:color="auto" w:fill="auto"/>
            <w:noWrap/>
            <w:vAlign w:val="center"/>
            <w:hideMark/>
          </w:tcPr>
          <w:p w14:paraId="23067761"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P05</w:t>
            </w:r>
          </w:p>
        </w:tc>
        <w:tc>
          <w:tcPr>
            <w:tcW w:w="0" w:type="auto"/>
            <w:tcBorders>
              <w:top w:val="nil"/>
              <w:left w:val="nil"/>
              <w:bottom w:val="nil"/>
              <w:right w:val="nil"/>
            </w:tcBorders>
            <w:shd w:val="clear" w:color="auto" w:fill="auto"/>
            <w:noWrap/>
            <w:vAlign w:val="center"/>
            <w:hideMark/>
          </w:tcPr>
          <w:p w14:paraId="4A1E7D55"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90,27</w:t>
            </w:r>
          </w:p>
        </w:tc>
        <w:tc>
          <w:tcPr>
            <w:tcW w:w="0" w:type="auto"/>
            <w:tcBorders>
              <w:top w:val="nil"/>
              <w:left w:val="nil"/>
              <w:bottom w:val="nil"/>
              <w:right w:val="nil"/>
            </w:tcBorders>
            <w:shd w:val="clear" w:color="auto" w:fill="auto"/>
            <w:noWrap/>
            <w:vAlign w:val="center"/>
            <w:hideMark/>
          </w:tcPr>
          <w:p w14:paraId="0EBB0F75"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394CAC5C"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EBS</w:t>
            </w:r>
          </w:p>
        </w:tc>
        <w:tc>
          <w:tcPr>
            <w:tcW w:w="0" w:type="auto"/>
            <w:tcBorders>
              <w:top w:val="nil"/>
              <w:left w:val="nil"/>
              <w:bottom w:val="nil"/>
              <w:right w:val="nil"/>
            </w:tcBorders>
            <w:shd w:val="clear" w:color="auto" w:fill="auto"/>
            <w:noWrap/>
            <w:vAlign w:val="center"/>
            <w:hideMark/>
          </w:tcPr>
          <w:p w14:paraId="4D7D0962"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P24</w:t>
            </w:r>
          </w:p>
        </w:tc>
        <w:tc>
          <w:tcPr>
            <w:tcW w:w="0" w:type="auto"/>
            <w:tcBorders>
              <w:top w:val="nil"/>
              <w:left w:val="nil"/>
              <w:bottom w:val="nil"/>
              <w:right w:val="nil"/>
            </w:tcBorders>
            <w:shd w:val="clear" w:color="auto" w:fill="auto"/>
            <w:noWrap/>
            <w:vAlign w:val="center"/>
            <w:hideMark/>
          </w:tcPr>
          <w:p w14:paraId="50DDC4C6"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96,32</w:t>
            </w:r>
          </w:p>
        </w:tc>
      </w:tr>
      <w:tr w:rsidR="00520B89" w:rsidRPr="00520B89" w14:paraId="71C59CDC" w14:textId="77777777" w:rsidTr="00520B89">
        <w:trPr>
          <w:trHeight w:val="288"/>
        </w:trPr>
        <w:tc>
          <w:tcPr>
            <w:tcW w:w="0" w:type="auto"/>
            <w:tcBorders>
              <w:top w:val="nil"/>
              <w:left w:val="nil"/>
              <w:bottom w:val="nil"/>
              <w:right w:val="nil"/>
            </w:tcBorders>
            <w:shd w:val="clear" w:color="auto" w:fill="auto"/>
            <w:noWrap/>
            <w:vAlign w:val="center"/>
            <w:hideMark/>
          </w:tcPr>
          <w:p w14:paraId="3F38B4B4"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FLR</w:t>
            </w:r>
          </w:p>
        </w:tc>
        <w:tc>
          <w:tcPr>
            <w:tcW w:w="0" w:type="auto"/>
            <w:tcBorders>
              <w:top w:val="nil"/>
              <w:left w:val="nil"/>
              <w:bottom w:val="nil"/>
              <w:right w:val="nil"/>
            </w:tcBorders>
            <w:shd w:val="clear" w:color="auto" w:fill="auto"/>
            <w:noWrap/>
            <w:vAlign w:val="center"/>
            <w:hideMark/>
          </w:tcPr>
          <w:p w14:paraId="7D7921A6"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P05</w:t>
            </w:r>
          </w:p>
        </w:tc>
        <w:tc>
          <w:tcPr>
            <w:tcW w:w="0" w:type="auto"/>
            <w:tcBorders>
              <w:top w:val="nil"/>
              <w:left w:val="nil"/>
              <w:bottom w:val="nil"/>
              <w:right w:val="nil"/>
            </w:tcBorders>
            <w:shd w:val="clear" w:color="auto" w:fill="auto"/>
            <w:noWrap/>
            <w:vAlign w:val="center"/>
            <w:hideMark/>
          </w:tcPr>
          <w:p w14:paraId="2B0CC95A"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97,66</w:t>
            </w:r>
          </w:p>
        </w:tc>
        <w:tc>
          <w:tcPr>
            <w:tcW w:w="0" w:type="auto"/>
            <w:tcBorders>
              <w:top w:val="nil"/>
              <w:left w:val="nil"/>
              <w:bottom w:val="nil"/>
              <w:right w:val="nil"/>
            </w:tcBorders>
            <w:shd w:val="clear" w:color="auto" w:fill="auto"/>
            <w:noWrap/>
            <w:vAlign w:val="center"/>
            <w:hideMark/>
          </w:tcPr>
          <w:p w14:paraId="249558D7"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single" w:sz="4" w:space="0" w:color="auto"/>
              <w:right w:val="nil"/>
            </w:tcBorders>
            <w:shd w:val="clear" w:color="auto" w:fill="auto"/>
            <w:noWrap/>
            <w:vAlign w:val="center"/>
            <w:hideMark/>
          </w:tcPr>
          <w:p w14:paraId="107DED1A"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VKN</w:t>
            </w:r>
          </w:p>
        </w:tc>
        <w:tc>
          <w:tcPr>
            <w:tcW w:w="0" w:type="auto"/>
            <w:tcBorders>
              <w:top w:val="nil"/>
              <w:left w:val="nil"/>
              <w:bottom w:val="single" w:sz="4" w:space="0" w:color="auto"/>
              <w:right w:val="nil"/>
            </w:tcBorders>
            <w:shd w:val="clear" w:color="auto" w:fill="auto"/>
            <w:noWrap/>
            <w:vAlign w:val="center"/>
            <w:hideMark/>
          </w:tcPr>
          <w:p w14:paraId="49FDAC60"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P06</w:t>
            </w:r>
          </w:p>
        </w:tc>
        <w:tc>
          <w:tcPr>
            <w:tcW w:w="0" w:type="auto"/>
            <w:tcBorders>
              <w:top w:val="nil"/>
              <w:left w:val="nil"/>
              <w:bottom w:val="single" w:sz="4" w:space="0" w:color="auto"/>
              <w:right w:val="nil"/>
            </w:tcBorders>
            <w:shd w:val="clear" w:color="auto" w:fill="auto"/>
            <w:noWrap/>
            <w:vAlign w:val="center"/>
            <w:hideMark/>
          </w:tcPr>
          <w:p w14:paraId="23CAC5FA"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95,54</w:t>
            </w:r>
          </w:p>
        </w:tc>
        <w:tc>
          <w:tcPr>
            <w:tcW w:w="0" w:type="auto"/>
            <w:tcBorders>
              <w:top w:val="nil"/>
              <w:left w:val="nil"/>
              <w:bottom w:val="nil"/>
              <w:right w:val="nil"/>
            </w:tcBorders>
            <w:shd w:val="clear" w:color="auto" w:fill="auto"/>
            <w:noWrap/>
            <w:vAlign w:val="center"/>
            <w:hideMark/>
          </w:tcPr>
          <w:p w14:paraId="3519DF43"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3C96E635"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EBS</w:t>
            </w:r>
          </w:p>
        </w:tc>
        <w:tc>
          <w:tcPr>
            <w:tcW w:w="0" w:type="auto"/>
            <w:tcBorders>
              <w:top w:val="nil"/>
              <w:left w:val="nil"/>
              <w:bottom w:val="nil"/>
              <w:right w:val="nil"/>
            </w:tcBorders>
            <w:shd w:val="clear" w:color="auto" w:fill="auto"/>
            <w:noWrap/>
            <w:vAlign w:val="center"/>
            <w:hideMark/>
          </w:tcPr>
          <w:p w14:paraId="040A4311"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P25</w:t>
            </w:r>
          </w:p>
        </w:tc>
        <w:tc>
          <w:tcPr>
            <w:tcW w:w="0" w:type="auto"/>
            <w:tcBorders>
              <w:top w:val="nil"/>
              <w:left w:val="nil"/>
              <w:bottom w:val="nil"/>
              <w:right w:val="nil"/>
            </w:tcBorders>
            <w:shd w:val="clear" w:color="auto" w:fill="auto"/>
            <w:noWrap/>
            <w:vAlign w:val="center"/>
            <w:hideMark/>
          </w:tcPr>
          <w:p w14:paraId="18BBA56A"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94,07</w:t>
            </w:r>
          </w:p>
        </w:tc>
      </w:tr>
      <w:tr w:rsidR="00520B89" w:rsidRPr="00520B89" w14:paraId="3F9918C0" w14:textId="77777777" w:rsidTr="00520B89">
        <w:trPr>
          <w:trHeight w:val="288"/>
        </w:trPr>
        <w:tc>
          <w:tcPr>
            <w:tcW w:w="0" w:type="auto"/>
            <w:tcBorders>
              <w:top w:val="nil"/>
              <w:left w:val="nil"/>
              <w:bottom w:val="nil"/>
              <w:right w:val="nil"/>
            </w:tcBorders>
            <w:shd w:val="clear" w:color="auto" w:fill="auto"/>
            <w:noWrap/>
            <w:vAlign w:val="center"/>
            <w:hideMark/>
          </w:tcPr>
          <w:p w14:paraId="451F9D75"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FLR</w:t>
            </w:r>
          </w:p>
        </w:tc>
        <w:tc>
          <w:tcPr>
            <w:tcW w:w="0" w:type="auto"/>
            <w:tcBorders>
              <w:top w:val="nil"/>
              <w:left w:val="nil"/>
              <w:bottom w:val="nil"/>
              <w:right w:val="nil"/>
            </w:tcBorders>
            <w:shd w:val="clear" w:color="auto" w:fill="auto"/>
            <w:noWrap/>
            <w:vAlign w:val="center"/>
            <w:hideMark/>
          </w:tcPr>
          <w:p w14:paraId="68E85CF4"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P06</w:t>
            </w:r>
          </w:p>
        </w:tc>
        <w:tc>
          <w:tcPr>
            <w:tcW w:w="0" w:type="auto"/>
            <w:tcBorders>
              <w:top w:val="nil"/>
              <w:left w:val="nil"/>
              <w:bottom w:val="nil"/>
              <w:right w:val="nil"/>
            </w:tcBorders>
            <w:shd w:val="clear" w:color="auto" w:fill="auto"/>
            <w:noWrap/>
            <w:vAlign w:val="center"/>
            <w:hideMark/>
          </w:tcPr>
          <w:p w14:paraId="3542F979"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91,29</w:t>
            </w:r>
          </w:p>
        </w:tc>
        <w:tc>
          <w:tcPr>
            <w:tcW w:w="0" w:type="auto"/>
            <w:tcBorders>
              <w:top w:val="nil"/>
              <w:left w:val="nil"/>
              <w:bottom w:val="nil"/>
              <w:right w:val="nil"/>
            </w:tcBorders>
            <w:shd w:val="clear" w:color="auto" w:fill="auto"/>
            <w:noWrap/>
            <w:vAlign w:val="center"/>
            <w:hideMark/>
          </w:tcPr>
          <w:p w14:paraId="656961F5"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single" w:sz="4" w:space="0" w:color="auto"/>
              <w:right w:val="nil"/>
            </w:tcBorders>
            <w:shd w:val="clear" w:color="auto" w:fill="auto"/>
            <w:noWrap/>
            <w:vAlign w:val="center"/>
            <w:hideMark/>
          </w:tcPr>
          <w:p w14:paraId="16DFED64"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MTZ</w:t>
            </w:r>
          </w:p>
        </w:tc>
        <w:tc>
          <w:tcPr>
            <w:tcW w:w="0" w:type="auto"/>
            <w:tcBorders>
              <w:top w:val="nil"/>
              <w:left w:val="nil"/>
              <w:bottom w:val="single" w:sz="4" w:space="0" w:color="auto"/>
              <w:right w:val="nil"/>
            </w:tcBorders>
            <w:shd w:val="clear" w:color="auto" w:fill="auto"/>
            <w:noWrap/>
            <w:vAlign w:val="center"/>
            <w:hideMark/>
          </w:tcPr>
          <w:p w14:paraId="27A2D2B2"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P01</w:t>
            </w:r>
          </w:p>
        </w:tc>
        <w:tc>
          <w:tcPr>
            <w:tcW w:w="0" w:type="auto"/>
            <w:tcBorders>
              <w:top w:val="nil"/>
              <w:left w:val="nil"/>
              <w:bottom w:val="single" w:sz="4" w:space="0" w:color="auto"/>
              <w:right w:val="nil"/>
            </w:tcBorders>
            <w:shd w:val="clear" w:color="auto" w:fill="auto"/>
            <w:noWrap/>
            <w:vAlign w:val="center"/>
            <w:hideMark/>
          </w:tcPr>
          <w:p w14:paraId="2C79C770"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88,49</w:t>
            </w:r>
          </w:p>
        </w:tc>
        <w:tc>
          <w:tcPr>
            <w:tcW w:w="0" w:type="auto"/>
            <w:tcBorders>
              <w:top w:val="nil"/>
              <w:left w:val="nil"/>
              <w:bottom w:val="nil"/>
              <w:right w:val="nil"/>
            </w:tcBorders>
            <w:shd w:val="clear" w:color="auto" w:fill="auto"/>
            <w:noWrap/>
            <w:vAlign w:val="center"/>
            <w:hideMark/>
          </w:tcPr>
          <w:p w14:paraId="56E4E62F"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265F7264"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EBS</w:t>
            </w:r>
          </w:p>
        </w:tc>
        <w:tc>
          <w:tcPr>
            <w:tcW w:w="0" w:type="auto"/>
            <w:tcBorders>
              <w:top w:val="nil"/>
              <w:left w:val="nil"/>
              <w:bottom w:val="nil"/>
              <w:right w:val="nil"/>
            </w:tcBorders>
            <w:shd w:val="clear" w:color="auto" w:fill="auto"/>
            <w:noWrap/>
            <w:vAlign w:val="center"/>
            <w:hideMark/>
          </w:tcPr>
          <w:p w14:paraId="36B42D96"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P26</w:t>
            </w:r>
          </w:p>
        </w:tc>
        <w:tc>
          <w:tcPr>
            <w:tcW w:w="0" w:type="auto"/>
            <w:tcBorders>
              <w:top w:val="nil"/>
              <w:left w:val="nil"/>
              <w:bottom w:val="nil"/>
              <w:right w:val="nil"/>
            </w:tcBorders>
            <w:shd w:val="clear" w:color="auto" w:fill="auto"/>
            <w:noWrap/>
            <w:vAlign w:val="center"/>
            <w:hideMark/>
          </w:tcPr>
          <w:p w14:paraId="3945A35E"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96,85</w:t>
            </w:r>
          </w:p>
        </w:tc>
      </w:tr>
      <w:tr w:rsidR="00520B89" w:rsidRPr="00520B89" w14:paraId="78041762" w14:textId="77777777" w:rsidTr="00520B89">
        <w:trPr>
          <w:trHeight w:val="288"/>
        </w:trPr>
        <w:tc>
          <w:tcPr>
            <w:tcW w:w="0" w:type="auto"/>
            <w:tcBorders>
              <w:top w:val="nil"/>
              <w:left w:val="nil"/>
              <w:bottom w:val="nil"/>
              <w:right w:val="nil"/>
            </w:tcBorders>
            <w:shd w:val="clear" w:color="auto" w:fill="auto"/>
            <w:noWrap/>
            <w:vAlign w:val="center"/>
            <w:hideMark/>
          </w:tcPr>
          <w:p w14:paraId="6F576227"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lastRenderedPageBreak/>
              <w:t>FLR</w:t>
            </w:r>
          </w:p>
        </w:tc>
        <w:tc>
          <w:tcPr>
            <w:tcW w:w="0" w:type="auto"/>
            <w:tcBorders>
              <w:top w:val="nil"/>
              <w:left w:val="nil"/>
              <w:bottom w:val="nil"/>
              <w:right w:val="nil"/>
            </w:tcBorders>
            <w:shd w:val="clear" w:color="auto" w:fill="auto"/>
            <w:noWrap/>
            <w:vAlign w:val="center"/>
            <w:hideMark/>
          </w:tcPr>
          <w:p w14:paraId="065D5B4C"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P07</w:t>
            </w:r>
          </w:p>
        </w:tc>
        <w:tc>
          <w:tcPr>
            <w:tcW w:w="0" w:type="auto"/>
            <w:tcBorders>
              <w:top w:val="nil"/>
              <w:left w:val="nil"/>
              <w:bottom w:val="nil"/>
              <w:right w:val="nil"/>
            </w:tcBorders>
            <w:shd w:val="clear" w:color="auto" w:fill="auto"/>
            <w:noWrap/>
            <w:vAlign w:val="center"/>
            <w:hideMark/>
          </w:tcPr>
          <w:p w14:paraId="46842017"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96,45</w:t>
            </w:r>
          </w:p>
        </w:tc>
        <w:tc>
          <w:tcPr>
            <w:tcW w:w="0" w:type="auto"/>
            <w:tcBorders>
              <w:top w:val="nil"/>
              <w:left w:val="nil"/>
              <w:bottom w:val="nil"/>
              <w:right w:val="nil"/>
            </w:tcBorders>
            <w:shd w:val="clear" w:color="auto" w:fill="auto"/>
            <w:noWrap/>
            <w:vAlign w:val="center"/>
            <w:hideMark/>
          </w:tcPr>
          <w:p w14:paraId="55CFF602"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single" w:sz="4" w:space="0" w:color="auto"/>
              <w:right w:val="nil"/>
            </w:tcBorders>
            <w:shd w:val="clear" w:color="auto" w:fill="auto"/>
            <w:noWrap/>
            <w:vAlign w:val="center"/>
            <w:hideMark/>
          </w:tcPr>
          <w:p w14:paraId="261D9AE5"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CLS</w:t>
            </w:r>
          </w:p>
        </w:tc>
        <w:tc>
          <w:tcPr>
            <w:tcW w:w="0" w:type="auto"/>
            <w:tcBorders>
              <w:top w:val="nil"/>
              <w:left w:val="nil"/>
              <w:bottom w:val="single" w:sz="4" w:space="0" w:color="auto"/>
              <w:right w:val="nil"/>
            </w:tcBorders>
            <w:shd w:val="clear" w:color="auto" w:fill="auto"/>
            <w:noWrap/>
            <w:vAlign w:val="center"/>
            <w:hideMark/>
          </w:tcPr>
          <w:p w14:paraId="58CC19CF"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P01</w:t>
            </w:r>
          </w:p>
        </w:tc>
        <w:tc>
          <w:tcPr>
            <w:tcW w:w="0" w:type="auto"/>
            <w:tcBorders>
              <w:top w:val="nil"/>
              <w:left w:val="nil"/>
              <w:bottom w:val="single" w:sz="4" w:space="0" w:color="auto"/>
              <w:right w:val="nil"/>
            </w:tcBorders>
            <w:shd w:val="clear" w:color="auto" w:fill="auto"/>
            <w:noWrap/>
            <w:vAlign w:val="center"/>
            <w:hideMark/>
          </w:tcPr>
          <w:p w14:paraId="2906F324"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79,39</w:t>
            </w:r>
          </w:p>
        </w:tc>
        <w:tc>
          <w:tcPr>
            <w:tcW w:w="0" w:type="auto"/>
            <w:tcBorders>
              <w:top w:val="nil"/>
              <w:left w:val="nil"/>
              <w:bottom w:val="nil"/>
              <w:right w:val="nil"/>
            </w:tcBorders>
            <w:shd w:val="clear" w:color="auto" w:fill="auto"/>
            <w:noWrap/>
            <w:vAlign w:val="center"/>
            <w:hideMark/>
          </w:tcPr>
          <w:p w14:paraId="0AAA76DC"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489E940A"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EBS</w:t>
            </w:r>
          </w:p>
        </w:tc>
        <w:tc>
          <w:tcPr>
            <w:tcW w:w="0" w:type="auto"/>
            <w:tcBorders>
              <w:top w:val="nil"/>
              <w:left w:val="nil"/>
              <w:bottom w:val="nil"/>
              <w:right w:val="nil"/>
            </w:tcBorders>
            <w:shd w:val="clear" w:color="auto" w:fill="auto"/>
            <w:noWrap/>
            <w:vAlign w:val="center"/>
            <w:hideMark/>
          </w:tcPr>
          <w:p w14:paraId="06A20D5E"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P33</w:t>
            </w:r>
          </w:p>
        </w:tc>
        <w:tc>
          <w:tcPr>
            <w:tcW w:w="0" w:type="auto"/>
            <w:tcBorders>
              <w:top w:val="nil"/>
              <w:left w:val="nil"/>
              <w:bottom w:val="nil"/>
              <w:right w:val="nil"/>
            </w:tcBorders>
            <w:shd w:val="clear" w:color="auto" w:fill="auto"/>
            <w:noWrap/>
            <w:vAlign w:val="center"/>
            <w:hideMark/>
          </w:tcPr>
          <w:p w14:paraId="11E77870"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97,74</w:t>
            </w:r>
          </w:p>
        </w:tc>
      </w:tr>
      <w:tr w:rsidR="00520B89" w:rsidRPr="00520B89" w14:paraId="26CFEC7A" w14:textId="77777777" w:rsidTr="00520B89">
        <w:trPr>
          <w:trHeight w:val="288"/>
        </w:trPr>
        <w:tc>
          <w:tcPr>
            <w:tcW w:w="0" w:type="auto"/>
            <w:tcBorders>
              <w:top w:val="nil"/>
              <w:left w:val="nil"/>
              <w:bottom w:val="nil"/>
              <w:right w:val="nil"/>
            </w:tcBorders>
            <w:shd w:val="clear" w:color="auto" w:fill="auto"/>
            <w:noWrap/>
            <w:vAlign w:val="center"/>
            <w:hideMark/>
          </w:tcPr>
          <w:p w14:paraId="5001FB5E"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FLR</w:t>
            </w:r>
          </w:p>
        </w:tc>
        <w:tc>
          <w:tcPr>
            <w:tcW w:w="0" w:type="auto"/>
            <w:tcBorders>
              <w:top w:val="nil"/>
              <w:left w:val="nil"/>
              <w:bottom w:val="nil"/>
              <w:right w:val="nil"/>
            </w:tcBorders>
            <w:shd w:val="clear" w:color="auto" w:fill="auto"/>
            <w:noWrap/>
            <w:vAlign w:val="center"/>
            <w:hideMark/>
          </w:tcPr>
          <w:p w14:paraId="77152D39"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P08</w:t>
            </w:r>
          </w:p>
        </w:tc>
        <w:tc>
          <w:tcPr>
            <w:tcW w:w="0" w:type="auto"/>
            <w:tcBorders>
              <w:top w:val="nil"/>
              <w:left w:val="nil"/>
              <w:bottom w:val="nil"/>
              <w:right w:val="nil"/>
            </w:tcBorders>
            <w:shd w:val="clear" w:color="auto" w:fill="auto"/>
            <w:noWrap/>
            <w:vAlign w:val="center"/>
            <w:hideMark/>
          </w:tcPr>
          <w:p w14:paraId="0274C904"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82,43</w:t>
            </w:r>
          </w:p>
        </w:tc>
        <w:tc>
          <w:tcPr>
            <w:tcW w:w="0" w:type="auto"/>
            <w:tcBorders>
              <w:top w:val="nil"/>
              <w:left w:val="nil"/>
              <w:bottom w:val="nil"/>
              <w:right w:val="nil"/>
            </w:tcBorders>
            <w:shd w:val="clear" w:color="auto" w:fill="auto"/>
            <w:noWrap/>
            <w:vAlign w:val="center"/>
            <w:hideMark/>
          </w:tcPr>
          <w:p w14:paraId="555041BE"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02F70513"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SSG</w:t>
            </w:r>
          </w:p>
        </w:tc>
        <w:tc>
          <w:tcPr>
            <w:tcW w:w="0" w:type="auto"/>
            <w:tcBorders>
              <w:top w:val="nil"/>
              <w:left w:val="nil"/>
              <w:bottom w:val="nil"/>
              <w:right w:val="nil"/>
            </w:tcBorders>
            <w:shd w:val="clear" w:color="auto" w:fill="auto"/>
            <w:noWrap/>
            <w:vAlign w:val="center"/>
            <w:hideMark/>
          </w:tcPr>
          <w:p w14:paraId="598A555C"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P01</w:t>
            </w:r>
          </w:p>
        </w:tc>
        <w:tc>
          <w:tcPr>
            <w:tcW w:w="0" w:type="auto"/>
            <w:tcBorders>
              <w:top w:val="nil"/>
              <w:left w:val="nil"/>
              <w:bottom w:val="nil"/>
              <w:right w:val="nil"/>
            </w:tcBorders>
            <w:shd w:val="clear" w:color="auto" w:fill="auto"/>
            <w:noWrap/>
            <w:vAlign w:val="center"/>
            <w:hideMark/>
          </w:tcPr>
          <w:p w14:paraId="2AF991C0"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96,03</w:t>
            </w:r>
          </w:p>
        </w:tc>
        <w:tc>
          <w:tcPr>
            <w:tcW w:w="0" w:type="auto"/>
            <w:tcBorders>
              <w:top w:val="nil"/>
              <w:left w:val="nil"/>
              <w:bottom w:val="nil"/>
              <w:right w:val="nil"/>
            </w:tcBorders>
            <w:shd w:val="clear" w:color="auto" w:fill="auto"/>
            <w:noWrap/>
            <w:vAlign w:val="center"/>
            <w:hideMark/>
          </w:tcPr>
          <w:p w14:paraId="43594FBC"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5454C918"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EBS</w:t>
            </w:r>
          </w:p>
        </w:tc>
        <w:tc>
          <w:tcPr>
            <w:tcW w:w="0" w:type="auto"/>
            <w:tcBorders>
              <w:top w:val="nil"/>
              <w:left w:val="nil"/>
              <w:bottom w:val="nil"/>
              <w:right w:val="nil"/>
            </w:tcBorders>
            <w:shd w:val="clear" w:color="auto" w:fill="auto"/>
            <w:noWrap/>
            <w:vAlign w:val="center"/>
            <w:hideMark/>
          </w:tcPr>
          <w:p w14:paraId="53B389D7"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P34</w:t>
            </w:r>
          </w:p>
        </w:tc>
        <w:tc>
          <w:tcPr>
            <w:tcW w:w="0" w:type="auto"/>
            <w:tcBorders>
              <w:top w:val="nil"/>
              <w:left w:val="nil"/>
              <w:bottom w:val="nil"/>
              <w:right w:val="nil"/>
            </w:tcBorders>
            <w:shd w:val="clear" w:color="auto" w:fill="auto"/>
            <w:noWrap/>
            <w:vAlign w:val="center"/>
            <w:hideMark/>
          </w:tcPr>
          <w:p w14:paraId="29BBDB11"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96,77</w:t>
            </w:r>
          </w:p>
        </w:tc>
      </w:tr>
      <w:tr w:rsidR="00520B89" w:rsidRPr="00520B89" w14:paraId="13A85E0D" w14:textId="77777777" w:rsidTr="00520B89">
        <w:trPr>
          <w:trHeight w:val="288"/>
        </w:trPr>
        <w:tc>
          <w:tcPr>
            <w:tcW w:w="0" w:type="auto"/>
            <w:tcBorders>
              <w:top w:val="nil"/>
              <w:left w:val="nil"/>
              <w:bottom w:val="nil"/>
              <w:right w:val="nil"/>
            </w:tcBorders>
            <w:shd w:val="clear" w:color="auto" w:fill="auto"/>
            <w:noWrap/>
            <w:vAlign w:val="center"/>
            <w:hideMark/>
          </w:tcPr>
          <w:p w14:paraId="11AFBADF"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FLR</w:t>
            </w:r>
          </w:p>
        </w:tc>
        <w:tc>
          <w:tcPr>
            <w:tcW w:w="0" w:type="auto"/>
            <w:tcBorders>
              <w:top w:val="nil"/>
              <w:left w:val="nil"/>
              <w:bottom w:val="nil"/>
              <w:right w:val="nil"/>
            </w:tcBorders>
            <w:shd w:val="clear" w:color="auto" w:fill="auto"/>
            <w:noWrap/>
            <w:vAlign w:val="center"/>
            <w:hideMark/>
          </w:tcPr>
          <w:p w14:paraId="1DA0B97B"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P09</w:t>
            </w:r>
          </w:p>
        </w:tc>
        <w:tc>
          <w:tcPr>
            <w:tcW w:w="0" w:type="auto"/>
            <w:tcBorders>
              <w:top w:val="nil"/>
              <w:left w:val="nil"/>
              <w:bottom w:val="nil"/>
              <w:right w:val="nil"/>
            </w:tcBorders>
            <w:shd w:val="clear" w:color="auto" w:fill="auto"/>
            <w:noWrap/>
            <w:vAlign w:val="center"/>
            <w:hideMark/>
          </w:tcPr>
          <w:p w14:paraId="39F86D90"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90,30</w:t>
            </w:r>
          </w:p>
        </w:tc>
        <w:tc>
          <w:tcPr>
            <w:tcW w:w="0" w:type="auto"/>
            <w:tcBorders>
              <w:top w:val="nil"/>
              <w:left w:val="nil"/>
              <w:bottom w:val="nil"/>
              <w:right w:val="nil"/>
            </w:tcBorders>
            <w:shd w:val="clear" w:color="auto" w:fill="auto"/>
            <w:noWrap/>
            <w:vAlign w:val="center"/>
            <w:hideMark/>
          </w:tcPr>
          <w:p w14:paraId="0A900AE7"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52FEEE5F"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SSG</w:t>
            </w:r>
          </w:p>
        </w:tc>
        <w:tc>
          <w:tcPr>
            <w:tcW w:w="0" w:type="auto"/>
            <w:tcBorders>
              <w:top w:val="nil"/>
              <w:left w:val="nil"/>
              <w:bottom w:val="nil"/>
              <w:right w:val="nil"/>
            </w:tcBorders>
            <w:shd w:val="clear" w:color="auto" w:fill="auto"/>
            <w:noWrap/>
            <w:vAlign w:val="center"/>
            <w:hideMark/>
          </w:tcPr>
          <w:p w14:paraId="190BA408"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P02</w:t>
            </w:r>
          </w:p>
        </w:tc>
        <w:tc>
          <w:tcPr>
            <w:tcW w:w="0" w:type="auto"/>
            <w:tcBorders>
              <w:top w:val="nil"/>
              <w:left w:val="nil"/>
              <w:bottom w:val="nil"/>
              <w:right w:val="nil"/>
            </w:tcBorders>
            <w:shd w:val="clear" w:color="auto" w:fill="auto"/>
            <w:noWrap/>
            <w:vAlign w:val="center"/>
            <w:hideMark/>
          </w:tcPr>
          <w:p w14:paraId="6EA0817F"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95,95</w:t>
            </w:r>
          </w:p>
        </w:tc>
        <w:tc>
          <w:tcPr>
            <w:tcW w:w="0" w:type="auto"/>
            <w:tcBorders>
              <w:top w:val="nil"/>
              <w:left w:val="nil"/>
              <w:bottom w:val="nil"/>
              <w:right w:val="nil"/>
            </w:tcBorders>
            <w:shd w:val="clear" w:color="auto" w:fill="auto"/>
            <w:noWrap/>
            <w:vAlign w:val="center"/>
            <w:hideMark/>
          </w:tcPr>
          <w:p w14:paraId="1E94E6FD"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516E4982"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EBS</w:t>
            </w:r>
          </w:p>
        </w:tc>
        <w:tc>
          <w:tcPr>
            <w:tcW w:w="0" w:type="auto"/>
            <w:tcBorders>
              <w:top w:val="nil"/>
              <w:left w:val="nil"/>
              <w:bottom w:val="nil"/>
              <w:right w:val="nil"/>
            </w:tcBorders>
            <w:shd w:val="clear" w:color="auto" w:fill="auto"/>
            <w:noWrap/>
            <w:vAlign w:val="center"/>
            <w:hideMark/>
          </w:tcPr>
          <w:p w14:paraId="0F06D2A7"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P35</w:t>
            </w:r>
          </w:p>
        </w:tc>
        <w:tc>
          <w:tcPr>
            <w:tcW w:w="0" w:type="auto"/>
            <w:tcBorders>
              <w:top w:val="nil"/>
              <w:left w:val="nil"/>
              <w:bottom w:val="nil"/>
              <w:right w:val="nil"/>
            </w:tcBorders>
            <w:shd w:val="clear" w:color="auto" w:fill="auto"/>
            <w:noWrap/>
            <w:vAlign w:val="center"/>
            <w:hideMark/>
          </w:tcPr>
          <w:p w14:paraId="13CBFCA7"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95,14</w:t>
            </w:r>
          </w:p>
        </w:tc>
      </w:tr>
      <w:tr w:rsidR="00520B89" w:rsidRPr="00520B89" w14:paraId="78E9A318" w14:textId="77777777" w:rsidTr="00520B89">
        <w:trPr>
          <w:trHeight w:val="288"/>
        </w:trPr>
        <w:tc>
          <w:tcPr>
            <w:tcW w:w="0" w:type="auto"/>
            <w:tcBorders>
              <w:top w:val="nil"/>
              <w:left w:val="nil"/>
              <w:bottom w:val="nil"/>
              <w:right w:val="nil"/>
            </w:tcBorders>
            <w:shd w:val="clear" w:color="auto" w:fill="auto"/>
            <w:noWrap/>
            <w:vAlign w:val="center"/>
            <w:hideMark/>
          </w:tcPr>
          <w:p w14:paraId="3D2CC1DC"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FLR</w:t>
            </w:r>
          </w:p>
        </w:tc>
        <w:tc>
          <w:tcPr>
            <w:tcW w:w="0" w:type="auto"/>
            <w:tcBorders>
              <w:top w:val="nil"/>
              <w:left w:val="nil"/>
              <w:bottom w:val="nil"/>
              <w:right w:val="nil"/>
            </w:tcBorders>
            <w:shd w:val="clear" w:color="auto" w:fill="auto"/>
            <w:noWrap/>
            <w:vAlign w:val="center"/>
            <w:hideMark/>
          </w:tcPr>
          <w:p w14:paraId="7915E40B"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P10</w:t>
            </w:r>
          </w:p>
        </w:tc>
        <w:tc>
          <w:tcPr>
            <w:tcW w:w="0" w:type="auto"/>
            <w:tcBorders>
              <w:top w:val="nil"/>
              <w:left w:val="nil"/>
              <w:bottom w:val="nil"/>
              <w:right w:val="nil"/>
            </w:tcBorders>
            <w:shd w:val="clear" w:color="auto" w:fill="auto"/>
            <w:noWrap/>
            <w:vAlign w:val="center"/>
            <w:hideMark/>
          </w:tcPr>
          <w:p w14:paraId="57DA7301"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92,93</w:t>
            </w:r>
          </w:p>
        </w:tc>
        <w:tc>
          <w:tcPr>
            <w:tcW w:w="0" w:type="auto"/>
            <w:tcBorders>
              <w:top w:val="nil"/>
              <w:left w:val="nil"/>
              <w:bottom w:val="nil"/>
              <w:right w:val="nil"/>
            </w:tcBorders>
            <w:shd w:val="clear" w:color="auto" w:fill="auto"/>
            <w:noWrap/>
            <w:vAlign w:val="center"/>
            <w:hideMark/>
          </w:tcPr>
          <w:p w14:paraId="727AD4B0"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6D3E5048"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SSG</w:t>
            </w:r>
          </w:p>
        </w:tc>
        <w:tc>
          <w:tcPr>
            <w:tcW w:w="0" w:type="auto"/>
            <w:tcBorders>
              <w:top w:val="nil"/>
              <w:left w:val="nil"/>
              <w:bottom w:val="nil"/>
              <w:right w:val="nil"/>
            </w:tcBorders>
            <w:shd w:val="clear" w:color="auto" w:fill="auto"/>
            <w:noWrap/>
            <w:vAlign w:val="center"/>
            <w:hideMark/>
          </w:tcPr>
          <w:p w14:paraId="0A9ACD2D"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P03</w:t>
            </w:r>
          </w:p>
        </w:tc>
        <w:tc>
          <w:tcPr>
            <w:tcW w:w="0" w:type="auto"/>
            <w:tcBorders>
              <w:top w:val="nil"/>
              <w:left w:val="nil"/>
              <w:bottom w:val="nil"/>
              <w:right w:val="nil"/>
            </w:tcBorders>
            <w:shd w:val="clear" w:color="auto" w:fill="auto"/>
            <w:noWrap/>
            <w:vAlign w:val="center"/>
            <w:hideMark/>
          </w:tcPr>
          <w:p w14:paraId="6FBDE3ED"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96,44</w:t>
            </w:r>
          </w:p>
        </w:tc>
        <w:tc>
          <w:tcPr>
            <w:tcW w:w="0" w:type="auto"/>
            <w:tcBorders>
              <w:top w:val="nil"/>
              <w:left w:val="nil"/>
              <w:bottom w:val="nil"/>
              <w:right w:val="nil"/>
            </w:tcBorders>
            <w:shd w:val="clear" w:color="auto" w:fill="auto"/>
            <w:noWrap/>
            <w:vAlign w:val="center"/>
            <w:hideMark/>
          </w:tcPr>
          <w:p w14:paraId="62DDFE38"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796EA5BF"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EBS</w:t>
            </w:r>
          </w:p>
        </w:tc>
        <w:tc>
          <w:tcPr>
            <w:tcW w:w="0" w:type="auto"/>
            <w:tcBorders>
              <w:top w:val="nil"/>
              <w:left w:val="nil"/>
              <w:bottom w:val="nil"/>
              <w:right w:val="nil"/>
            </w:tcBorders>
            <w:shd w:val="clear" w:color="auto" w:fill="auto"/>
            <w:noWrap/>
            <w:vAlign w:val="center"/>
            <w:hideMark/>
          </w:tcPr>
          <w:p w14:paraId="24D996CF"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P36</w:t>
            </w:r>
          </w:p>
        </w:tc>
        <w:tc>
          <w:tcPr>
            <w:tcW w:w="0" w:type="auto"/>
            <w:tcBorders>
              <w:top w:val="nil"/>
              <w:left w:val="nil"/>
              <w:bottom w:val="nil"/>
              <w:right w:val="nil"/>
            </w:tcBorders>
            <w:shd w:val="clear" w:color="auto" w:fill="auto"/>
            <w:noWrap/>
            <w:vAlign w:val="center"/>
            <w:hideMark/>
          </w:tcPr>
          <w:p w14:paraId="4A7B57F1"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96,80</w:t>
            </w:r>
          </w:p>
        </w:tc>
      </w:tr>
      <w:tr w:rsidR="00520B89" w:rsidRPr="00520B89" w14:paraId="6611230E" w14:textId="77777777" w:rsidTr="00520B89">
        <w:trPr>
          <w:trHeight w:val="288"/>
        </w:trPr>
        <w:tc>
          <w:tcPr>
            <w:tcW w:w="0" w:type="auto"/>
            <w:tcBorders>
              <w:top w:val="nil"/>
              <w:left w:val="nil"/>
              <w:bottom w:val="nil"/>
              <w:right w:val="nil"/>
            </w:tcBorders>
            <w:shd w:val="clear" w:color="auto" w:fill="auto"/>
            <w:noWrap/>
            <w:vAlign w:val="center"/>
            <w:hideMark/>
          </w:tcPr>
          <w:p w14:paraId="3622DB29"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FLR</w:t>
            </w:r>
          </w:p>
        </w:tc>
        <w:tc>
          <w:tcPr>
            <w:tcW w:w="0" w:type="auto"/>
            <w:tcBorders>
              <w:top w:val="nil"/>
              <w:left w:val="nil"/>
              <w:bottom w:val="nil"/>
              <w:right w:val="nil"/>
            </w:tcBorders>
            <w:shd w:val="clear" w:color="auto" w:fill="auto"/>
            <w:noWrap/>
            <w:vAlign w:val="center"/>
            <w:hideMark/>
          </w:tcPr>
          <w:p w14:paraId="723E8F14"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P11</w:t>
            </w:r>
          </w:p>
        </w:tc>
        <w:tc>
          <w:tcPr>
            <w:tcW w:w="0" w:type="auto"/>
            <w:tcBorders>
              <w:top w:val="nil"/>
              <w:left w:val="nil"/>
              <w:bottom w:val="nil"/>
              <w:right w:val="nil"/>
            </w:tcBorders>
            <w:shd w:val="clear" w:color="auto" w:fill="auto"/>
            <w:noWrap/>
            <w:vAlign w:val="center"/>
            <w:hideMark/>
          </w:tcPr>
          <w:p w14:paraId="6503F4A4"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97,41</w:t>
            </w:r>
          </w:p>
        </w:tc>
        <w:tc>
          <w:tcPr>
            <w:tcW w:w="0" w:type="auto"/>
            <w:tcBorders>
              <w:top w:val="nil"/>
              <w:left w:val="nil"/>
              <w:bottom w:val="nil"/>
              <w:right w:val="nil"/>
            </w:tcBorders>
            <w:shd w:val="clear" w:color="auto" w:fill="auto"/>
            <w:noWrap/>
            <w:vAlign w:val="center"/>
            <w:hideMark/>
          </w:tcPr>
          <w:p w14:paraId="63CD1383"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4D7283EC"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SSG</w:t>
            </w:r>
          </w:p>
        </w:tc>
        <w:tc>
          <w:tcPr>
            <w:tcW w:w="0" w:type="auto"/>
            <w:tcBorders>
              <w:top w:val="nil"/>
              <w:left w:val="nil"/>
              <w:bottom w:val="nil"/>
              <w:right w:val="nil"/>
            </w:tcBorders>
            <w:shd w:val="clear" w:color="auto" w:fill="auto"/>
            <w:noWrap/>
            <w:vAlign w:val="center"/>
            <w:hideMark/>
          </w:tcPr>
          <w:p w14:paraId="3D3BCDD3"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P04</w:t>
            </w:r>
          </w:p>
        </w:tc>
        <w:tc>
          <w:tcPr>
            <w:tcW w:w="0" w:type="auto"/>
            <w:tcBorders>
              <w:top w:val="nil"/>
              <w:left w:val="nil"/>
              <w:bottom w:val="nil"/>
              <w:right w:val="nil"/>
            </w:tcBorders>
            <w:shd w:val="clear" w:color="auto" w:fill="auto"/>
            <w:noWrap/>
            <w:vAlign w:val="center"/>
            <w:hideMark/>
          </w:tcPr>
          <w:p w14:paraId="3A53F05E"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97,59</w:t>
            </w:r>
          </w:p>
        </w:tc>
        <w:tc>
          <w:tcPr>
            <w:tcW w:w="0" w:type="auto"/>
            <w:tcBorders>
              <w:top w:val="nil"/>
              <w:left w:val="nil"/>
              <w:bottom w:val="nil"/>
              <w:right w:val="nil"/>
            </w:tcBorders>
            <w:shd w:val="clear" w:color="auto" w:fill="auto"/>
            <w:noWrap/>
            <w:vAlign w:val="center"/>
            <w:hideMark/>
          </w:tcPr>
          <w:p w14:paraId="41392263"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single" w:sz="4" w:space="0" w:color="auto"/>
              <w:right w:val="nil"/>
            </w:tcBorders>
            <w:shd w:val="clear" w:color="auto" w:fill="auto"/>
            <w:noWrap/>
            <w:vAlign w:val="center"/>
            <w:hideMark/>
          </w:tcPr>
          <w:p w14:paraId="47E8FA72"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EBS</w:t>
            </w:r>
          </w:p>
        </w:tc>
        <w:tc>
          <w:tcPr>
            <w:tcW w:w="0" w:type="auto"/>
            <w:tcBorders>
              <w:top w:val="nil"/>
              <w:left w:val="nil"/>
              <w:bottom w:val="single" w:sz="4" w:space="0" w:color="auto"/>
              <w:right w:val="nil"/>
            </w:tcBorders>
            <w:shd w:val="clear" w:color="auto" w:fill="auto"/>
            <w:noWrap/>
            <w:vAlign w:val="center"/>
            <w:hideMark/>
          </w:tcPr>
          <w:p w14:paraId="4FDCB005"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P37</w:t>
            </w:r>
          </w:p>
        </w:tc>
        <w:tc>
          <w:tcPr>
            <w:tcW w:w="0" w:type="auto"/>
            <w:tcBorders>
              <w:top w:val="nil"/>
              <w:left w:val="nil"/>
              <w:bottom w:val="single" w:sz="4" w:space="0" w:color="auto"/>
              <w:right w:val="nil"/>
            </w:tcBorders>
            <w:shd w:val="clear" w:color="auto" w:fill="auto"/>
            <w:noWrap/>
            <w:vAlign w:val="center"/>
            <w:hideMark/>
          </w:tcPr>
          <w:p w14:paraId="60598A07"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97,77</w:t>
            </w:r>
          </w:p>
        </w:tc>
      </w:tr>
      <w:tr w:rsidR="00520B89" w:rsidRPr="00520B89" w14:paraId="3A17AA26" w14:textId="77777777" w:rsidTr="00520B89">
        <w:trPr>
          <w:trHeight w:val="288"/>
        </w:trPr>
        <w:tc>
          <w:tcPr>
            <w:tcW w:w="0" w:type="auto"/>
            <w:tcBorders>
              <w:top w:val="nil"/>
              <w:left w:val="nil"/>
              <w:bottom w:val="single" w:sz="4" w:space="0" w:color="auto"/>
              <w:right w:val="nil"/>
            </w:tcBorders>
            <w:shd w:val="clear" w:color="auto" w:fill="auto"/>
            <w:noWrap/>
            <w:vAlign w:val="center"/>
            <w:hideMark/>
          </w:tcPr>
          <w:p w14:paraId="3A7ABB3C"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FLR</w:t>
            </w:r>
          </w:p>
        </w:tc>
        <w:tc>
          <w:tcPr>
            <w:tcW w:w="0" w:type="auto"/>
            <w:tcBorders>
              <w:top w:val="nil"/>
              <w:left w:val="nil"/>
              <w:bottom w:val="single" w:sz="4" w:space="0" w:color="auto"/>
              <w:right w:val="nil"/>
            </w:tcBorders>
            <w:shd w:val="clear" w:color="auto" w:fill="auto"/>
            <w:noWrap/>
            <w:vAlign w:val="center"/>
            <w:hideMark/>
          </w:tcPr>
          <w:p w14:paraId="116DBCE6"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P12</w:t>
            </w:r>
          </w:p>
        </w:tc>
        <w:tc>
          <w:tcPr>
            <w:tcW w:w="0" w:type="auto"/>
            <w:tcBorders>
              <w:top w:val="nil"/>
              <w:left w:val="nil"/>
              <w:bottom w:val="single" w:sz="4" w:space="0" w:color="auto"/>
              <w:right w:val="nil"/>
            </w:tcBorders>
            <w:shd w:val="clear" w:color="auto" w:fill="auto"/>
            <w:noWrap/>
            <w:vAlign w:val="center"/>
            <w:hideMark/>
          </w:tcPr>
          <w:p w14:paraId="39F47DB3"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89,35</w:t>
            </w:r>
          </w:p>
        </w:tc>
        <w:tc>
          <w:tcPr>
            <w:tcW w:w="0" w:type="auto"/>
            <w:tcBorders>
              <w:top w:val="nil"/>
              <w:left w:val="nil"/>
              <w:bottom w:val="nil"/>
              <w:right w:val="nil"/>
            </w:tcBorders>
            <w:shd w:val="clear" w:color="auto" w:fill="auto"/>
            <w:noWrap/>
            <w:vAlign w:val="center"/>
            <w:hideMark/>
          </w:tcPr>
          <w:p w14:paraId="73871411"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single" w:sz="4" w:space="0" w:color="auto"/>
              <w:right w:val="nil"/>
            </w:tcBorders>
            <w:shd w:val="clear" w:color="auto" w:fill="auto"/>
            <w:noWrap/>
            <w:vAlign w:val="center"/>
            <w:hideMark/>
          </w:tcPr>
          <w:p w14:paraId="2019BA6D"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SSG</w:t>
            </w:r>
          </w:p>
        </w:tc>
        <w:tc>
          <w:tcPr>
            <w:tcW w:w="0" w:type="auto"/>
            <w:tcBorders>
              <w:top w:val="nil"/>
              <w:left w:val="nil"/>
              <w:bottom w:val="single" w:sz="4" w:space="0" w:color="auto"/>
              <w:right w:val="nil"/>
            </w:tcBorders>
            <w:shd w:val="clear" w:color="auto" w:fill="auto"/>
            <w:noWrap/>
            <w:vAlign w:val="center"/>
            <w:hideMark/>
          </w:tcPr>
          <w:p w14:paraId="1611B0F5"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P05</w:t>
            </w:r>
          </w:p>
        </w:tc>
        <w:tc>
          <w:tcPr>
            <w:tcW w:w="0" w:type="auto"/>
            <w:tcBorders>
              <w:top w:val="nil"/>
              <w:left w:val="nil"/>
              <w:bottom w:val="single" w:sz="4" w:space="0" w:color="auto"/>
              <w:right w:val="nil"/>
            </w:tcBorders>
            <w:shd w:val="clear" w:color="auto" w:fill="auto"/>
            <w:noWrap/>
            <w:vAlign w:val="center"/>
            <w:hideMark/>
          </w:tcPr>
          <w:p w14:paraId="3FBE53D0"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97,60</w:t>
            </w:r>
          </w:p>
        </w:tc>
        <w:tc>
          <w:tcPr>
            <w:tcW w:w="0" w:type="auto"/>
            <w:tcBorders>
              <w:top w:val="nil"/>
              <w:left w:val="nil"/>
              <w:bottom w:val="nil"/>
              <w:right w:val="nil"/>
            </w:tcBorders>
            <w:shd w:val="clear" w:color="auto" w:fill="auto"/>
            <w:noWrap/>
            <w:vAlign w:val="center"/>
            <w:hideMark/>
          </w:tcPr>
          <w:p w14:paraId="03A21DDF"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7D60962D"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BGN</w:t>
            </w:r>
          </w:p>
        </w:tc>
        <w:tc>
          <w:tcPr>
            <w:tcW w:w="0" w:type="auto"/>
            <w:tcBorders>
              <w:top w:val="nil"/>
              <w:left w:val="nil"/>
              <w:bottom w:val="nil"/>
              <w:right w:val="nil"/>
            </w:tcBorders>
            <w:shd w:val="clear" w:color="auto" w:fill="auto"/>
            <w:noWrap/>
            <w:vAlign w:val="center"/>
            <w:hideMark/>
          </w:tcPr>
          <w:p w14:paraId="7D6E35F4"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P01</w:t>
            </w:r>
          </w:p>
        </w:tc>
        <w:tc>
          <w:tcPr>
            <w:tcW w:w="0" w:type="auto"/>
            <w:tcBorders>
              <w:top w:val="nil"/>
              <w:left w:val="nil"/>
              <w:bottom w:val="nil"/>
              <w:right w:val="nil"/>
            </w:tcBorders>
            <w:shd w:val="clear" w:color="auto" w:fill="auto"/>
            <w:noWrap/>
            <w:vAlign w:val="center"/>
            <w:hideMark/>
          </w:tcPr>
          <w:p w14:paraId="0818CA5B"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94,97</w:t>
            </w:r>
          </w:p>
        </w:tc>
      </w:tr>
      <w:tr w:rsidR="00520B89" w:rsidRPr="00520B89" w14:paraId="0D462B1C" w14:textId="77777777" w:rsidTr="00520B89">
        <w:trPr>
          <w:trHeight w:val="288"/>
        </w:trPr>
        <w:tc>
          <w:tcPr>
            <w:tcW w:w="0" w:type="auto"/>
            <w:tcBorders>
              <w:top w:val="nil"/>
              <w:left w:val="nil"/>
              <w:bottom w:val="nil"/>
              <w:right w:val="nil"/>
            </w:tcBorders>
            <w:shd w:val="clear" w:color="auto" w:fill="auto"/>
            <w:noWrap/>
            <w:vAlign w:val="center"/>
            <w:hideMark/>
          </w:tcPr>
          <w:p w14:paraId="38E74A46"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JCN</w:t>
            </w:r>
          </w:p>
        </w:tc>
        <w:tc>
          <w:tcPr>
            <w:tcW w:w="0" w:type="auto"/>
            <w:tcBorders>
              <w:top w:val="nil"/>
              <w:left w:val="nil"/>
              <w:bottom w:val="nil"/>
              <w:right w:val="nil"/>
            </w:tcBorders>
            <w:shd w:val="clear" w:color="auto" w:fill="auto"/>
            <w:noWrap/>
            <w:vAlign w:val="center"/>
            <w:hideMark/>
          </w:tcPr>
          <w:p w14:paraId="1C192A6F"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P01</w:t>
            </w:r>
          </w:p>
        </w:tc>
        <w:tc>
          <w:tcPr>
            <w:tcW w:w="0" w:type="auto"/>
            <w:tcBorders>
              <w:top w:val="nil"/>
              <w:left w:val="nil"/>
              <w:bottom w:val="nil"/>
              <w:right w:val="nil"/>
            </w:tcBorders>
            <w:shd w:val="clear" w:color="auto" w:fill="auto"/>
            <w:noWrap/>
            <w:vAlign w:val="center"/>
            <w:hideMark/>
          </w:tcPr>
          <w:p w14:paraId="0C7DB759"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96,85</w:t>
            </w:r>
          </w:p>
        </w:tc>
        <w:tc>
          <w:tcPr>
            <w:tcW w:w="0" w:type="auto"/>
            <w:tcBorders>
              <w:top w:val="nil"/>
              <w:left w:val="nil"/>
              <w:bottom w:val="nil"/>
              <w:right w:val="nil"/>
            </w:tcBorders>
            <w:shd w:val="clear" w:color="auto" w:fill="auto"/>
            <w:noWrap/>
            <w:vAlign w:val="center"/>
            <w:hideMark/>
          </w:tcPr>
          <w:p w14:paraId="4DEF8EB3"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7A4239CC"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STZ</w:t>
            </w:r>
          </w:p>
        </w:tc>
        <w:tc>
          <w:tcPr>
            <w:tcW w:w="0" w:type="auto"/>
            <w:tcBorders>
              <w:top w:val="nil"/>
              <w:left w:val="nil"/>
              <w:bottom w:val="nil"/>
              <w:right w:val="nil"/>
            </w:tcBorders>
            <w:shd w:val="clear" w:color="auto" w:fill="auto"/>
            <w:noWrap/>
            <w:vAlign w:val="center"/>
            <w:hideMark/>
          </w:tcPr>
          <w:p w14:paraId="59B03FF8"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P01</w:t>
            </w:r>
          </w:p>
        </w:tc>
        <w:tc>
          <w:tcPr>
            <w:tcW w:w="0" w:type="auto"/>
            <w:tcBorders>
              <w:top w:val="nil"/>
              <w:left w:val="nil"/>
              <w:bottom w:val="nil"/>
              <w:right w:val="nil"/>
            </w:tcBorders>
            <w:shd w:val="clear" w:color="auto" w:fill="auto"/>
            <w:noWrap/>
            <w:vAlign w:val="center"/>
            <w:hideMark/>
          </w:tcPr>
          <w:p w14:paraId="5992E67B"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96,42</w:t>
            </w:r>
          </w:p>
        </w:tc>
        <w:tc>
          <w:tcPr>
            <w:tcW w:w="0" w:type="auto"/>
            <w:tcBorders>
              <w:top w:val="nil"/>
              <w:left w:val="nil"/>
              <w:bottom w:val="nil"/>
              <w:right w:val="nil"/>
            </w:tcBorders>
            <w:shd w:val="clear" w:color="auto" w:fill="auto"/>
            <w:noWrap/>
            <w:vAlign w:val="center"/>
            <w:hideMark/>
          </w:tcPr>
          <w:p w14:paraId="73A0F145"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0054D630"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BGN</w:t>
            </w:r>
          </w:p>
        </w:tc>
        <w:tc>
          <w:tcPr>
            <w:tcW w:w="0" w:type="auto"/>
            <w:tcBorders>
              <w:top w:val="nil"/>
              <w:left w:val="nil"/>
              <w:bottom w:val="nil"/>
              <w:right w:val="nil"/>
            </w:tcBorders>
            <w:shd w:val="clear" w:color="auto" w:fill="auto"/>
            <w:noWrap/>
            <w:vAlign w:val="center"/>
            <w:hideMark/>
          </w:tcPr>
          <w:p w14:paraId="51A99520"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P03</w:t>
            </w:r>
          </w:p>
        </w:tc>
        <w:tc>
          <w:tcPr>
            <w:tcW w:w="0" w:type="auto"/>
            <w:tcBorders>
              <w:top w:val="nil"/>
              <w:left w:val="nil"/>
              <w:bottom w:val="nil"/>
              <w:right w:val="nil"/>
            </w:tcBorders>
            <w:shd w:val="clear" w:color="auto" w:fill="auto"/>
            <w:noWrap/>
            <w:vAlign w:val="center"/>
            <w:hideMark/>
          </w:tcPr>
          <w:p w14:paraId="71CAD479"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96,05</w:t>
            </w:r>
          </w:p>
        </w:tc>
      </w:tr>
      <w:tr w:rsidR="00520B89" w:rsidRPr="00520B89" w14:paraId="122E128C" w14:textId="77777777" w:rsidTr="00520B89">
        <w:trPr>
          <w:trHeight w:val="288"/>
        </w:trPr>
        <w:tc>
          <w:tcPr>
            <w:tcW w:w="0" w:type="auto"/>
            <w:tcBorders>
              <w:top w:val="nil"/>
              <w:left w:val="nil"/>
              <w:bottom w:val="nil"/>
              <w:right w:val="nil"/>
            </w:tcBorders>
            <w:shd w:val="clear" w:color="auto" w:fill="auto"/>
            <w:noWrap/>
            <w:vAlign w:val="center"/>
            <w:hideMark/>
          </w:tcPr>
          <w:p w14:paraId="57F07C1B"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JCN</w:t>
            </w:r>
          </w:p>
        </w:tc>
        <w:tc>
          <w:tcPr>
            <w:tcW w:w="0" w:type="auto"/>
            <w:tcBorders>
              <w:top w:val="nil"/>
              <w:left w:val="nil"/>
              <w:bottom w:val="nil"/>
              <w:right w:val="nil"/>
            </w:tcBorders>
            <w:shd w:val="clear" w:color="auto" w:fill="auto"/>
            <w:noWrap/>
            <w:vAlign w:val="center"/>
            <w:hideMark/>
          </w:tcPr>
          <w:p w14:paraId="3FD5F4B8"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P02</w:t>
            </w:r>
          </w:p>
        </w:tc>
        <w:tc>
          <w:tcPr>
            <w:tcW w:w="0" w:type="auto"/>
            <w:tcBorders>
              <w:top w:val="nil"/>
              <w:left w:val="nil"/>
              <w:bottom w:val="nil"/>
              <w:right w:val="nil"/>
            </w:tcBorders>
            <w:shd w:val="clear" w:color="auto" w:fill="auto"/>
            <w:noWrap/>
            <w:vAlign w:val="center"/>
            <w:hideMark/>
          </w:tcPr>
          <w:p w14:paraId="0E1A19AD"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98,20</w:t>
            </w:r>
          </w:p>
        </w:tc>
        <w:tc>
          <w:tcPr>
            <w:tcW w:w="0" w:type="auto"/>
            <w:tcBorders>
              <w:top w:val="nil"/>
              <w:left w:val="nil"/>
              <w:bottom w:val="nil"/>
              <w:right w:val="nil"/>
            </w:tcBorders>
            <w:shd w:val="clear" w:color="auto" w:fill="auto"/>
            <w:noWrap/>
            <w:vAlign w:val="center"/>
            <w:hideMark/>
          </w:tcPr>
          <w:p w14:paraId="1A57CBBB"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single" w:sz="4" w:space="0" w:color="auto"/>
              <w:right w:val="nil"/>
            </w:tcBorders>
            <w:shd w:val="clear" w:color="auto" w:fill="auto"/>
            <w:noWrap/>
            <w:vAlign w:val="center"/>
            <w:hideMark/>
          </w:tcPr>
          <w:p w14:paraId="352F7C28"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STZ</w:t>
            </w:r>
          </w:p>
        </w:tc>
        <w:tc>
          <w:tcPr>
            <w:tcW w:w="0" w:type="auto"/>
            <w:tcBorders>
              <w:top w:val="nil"/>
              <w:left w:val="nil"/>
              <w:bottom w:val="single" w:sz="4" w:space="0" w:color="auto"/>
              <w:right w:val="nil"/>
            </w:tcBorders>
            <w:shd w:val="clear" w:color="auto" w:fill="auto"/>
            <w:noWrap/>
            <w:vAlign w:val="center"/>
            <w:hideMark/>
          </w:tcPr>
          <w:p w14:paraId="79BADF59"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P02</w:t>
            </w:r>
          </w:p>
        </w:tc>
        <w:tc>
          <w:tcPr>
            <w:tcW w:w="0" w:type="auto"/>
            <w:tcBorders>
              <w:top w:val="nil"/>
              <w:left w:val="nil"/>
              <w:bottom w:val="single" w:sz="4" w:space="0" w:color="auto"/>
              <w:right w:val="nil"/>
            </w:tcBorders>
            <w:shd w:val="clear" w:color="auto" w:fill="auto"/>
            <w:noWrap/>
            <w:vAlign w:val="center"/>
            <w:hideMark/>
          </w:tcPr>
          <w:p w14:paraId="11174ADA"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95,91</w:t>
            </w:r>
          </w:p>
        </w:tc>
        <w:tc>
          <w:tcPr>
            <w:tcW w:w="0" w:type="auto"/>
            <w:tcBorders>
              <w:top w:val="nil"/>
              <w:left w:val="nil"/>
              <w:bottom w:val="nil"/>
              <w:right w:val="nil"/>
            </w:tcBorders>
            <w:shd w:val="clear" w:color="auto" w:fill="auto"/>
            <w:noWrap/>
            <w:vAlign w:val="center"/>
            <w:hideMark/>
          </w:tcPr>
          <w:p w14:paraId="459F47DD"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0A94CBBF"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BGN</w:t>
            </w:r>
          </w:p>
        </w:tc>
        <w:tc>
          <w:tcPr>
            <w:tcW w:w="0" w:type="auto"/>
            <w:tcBorders>
              <w:top w:val="nil"/>
              <w:left w:val="nil"/>
              <w:bottom w:val="nil"/>
              <w:right w:val="nil"/>
            </w:tcBorders>
            <w:shd w:val="clear" w:color="auto" w:fill="auto"/>
            <w:noWrap/>
            <w:vAlign w:val="center"/>
            <w:hideMark/>
          </w:tcPr>
          <w:p w14:paraId="0959056E"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P04</w:t>
            </w:r>
          </w:p>
        </w:tc>
        <w:tc>
          <w:tcPr>
            <w:tcW w:w="0" w:type="auto"/>
            <w:tcBorders>
              <w:top w:val="nil"/>
              <w:left w:val="nil"/>
              <w:bottom w:val="nil"/>
              <w:right w:val="nil"/>
            </w:tcBorders>
            <w:shd w:val="clear" w:color="auto" w:fill="auto"/>
            <w:noWrap/>
            <w:vAlign w:val="center"/>
            <w:hideMark/>
          </w:tcPr>
          <w:p w14:paraId="3731F26D"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97,65</w:t>
            </w:r>
          </w:p>
        </w:tc>
      </w:tr>
      <w:tr w:rsidR="00520B89" w:rsidRPr="00520B89" w14:paraId="03AB1D28" w14:textId="77777777" w:rsidTr="00520B89">
        <w:trPr>
          <w:trHeight w:val="288"/>
        </w:trPr>
        <w:tc>
          <w:tcPr>
            <w:tcW w:w="0" w:type="auto"/>
            <w:tcBorders>
              <w:top w:val="nil"/>
              <w:left w:val="nil"/>
              <w:bottom w:val="nil"/>
              <w:right w:val="nil"/>
            </w:tcBorders>
            <w:shd w:val="clear" w:color="auto" w:fill="auto"/>
            <w:noWrap/>
            <w:vAlign w:val="center"/>
            <w:hideMark/>
          </w:tcPr>
          <w:p w14:paraId="0C8A3B43"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JCN</w:t>
            </w:r>
          </w:p>
        </w:tc>
        <w:tc>
          <w:tcPr>
            <w:tcW w:w="0" w:type="auto"/>
            <w:tcBorders>
              <w:top w:val="nil"/>
              <w:left w:val="nil"/>
              <w:bottom w:val="nil"/>
              <w:right w:val="nil"/>
            </w:tcBorders>
            <w:shd w:val="clear" w:color="auto" w:fill="auto"/>
            <w:noWrap/>
            <w:vAlign w:val="center"/>
            <w:hideMark/>
          </w:tcPr>
          <w:p w14:paraId="2E1027DF"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P03</w:t>
            </w:r>
          </w:p>
        </w:tc>
        <w:tc>
          <w:tcPr>
            <w:tcW w:w="0" w:type="auto"/>
            <w:tcBorders>
              <w:top w:val="nil"/>
              <w:left w:val="nil"/>
              <w:bottom w:val="nil"/>
              <w:right w:val="nil"/>
            </w:tcBorders>
            <w:shd w:val="clear" w:color="auto" w:fill="auto"/>
            <w:noWrap/>
            <w:vAlign w:val="center"/>
            <w:hideMark/>
          </w:tcPr>
          <w:p w14:paraId="3CD66822"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95,66</w:t>
            </w:r>
          </w:p>
        </w:tc>
        <w:tc>
          <w:tcPr>
            <w:tcW w:w="0" w:type="auto"/>
            <w:tcBorders>
              <w:top w:val="nil"/>
              <w:left w:val="nil"/>
              <w:bottom w:val="nil"/>
              <w:right w:val="nil"/>
            </w:tcBorders>
            <w:shd w:val="clear" w:color="auto" w:fill="auto"/>
            <w:noWrap/>
            <w:vAlign w:val="center"/>
            <w:hideMark/>
          </w:tcPr>
          <w:p w14:paraId="0865BD31"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4217B64D"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GRI</w:t>
            </w:r>
          </w:p>
        </w:tc>
        <w:tc>
          <w:tcPr>
            <w:tcW w:w="0" w:type="auto"/>
            <w:tcBorders>
              <w:top w:val="nil"/>
              <w:left w:val="nil"/>
              <w:bottom w:val="nil"/>
              <w:right w:val="nil"/>
            </w:tcBorders>
            <w:shd w:val="clear" w:color="auto" w:fill="auto"/>
            <w:noWrap/>
            <w:vAlign w:val="center"/>
            <w:hideMark/>
          </w:tcPr>
          <w:p w14:paraId="22B975FA"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P01</w:t>
            </w:r>
          </w:p>
        </w:tc>
        <w:tc>
          <w:tcPr>
            <w:tcW w:w="0" w:type="auto"/>
            <w:tcBorders>
              <w:top w:val="nil"/>
              <w:left w:val="nil"/>
              <w:bottom w:val="nil"/>
              <w:right w:val="nil"/>
            </w:tcBorders>
            <w:shd w:val="clear" w:color="auto" w:fill="auto"/>
            <w:noWrap/>
            <w:vAlign w:val="center"/>
            <w:hideMark/>
          </w:tcPr>
          <w:p w14:paraId="3FEFAEAB"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98,02</w:t>
            </w:r>
          </w:p>
        </w:tc>
        <w:tc>
          <w:tcPr>
            <w:tcW w:w="0" w:type="auto"/>
            <w:tcBorders>
              <w:top w:val="nil"/>
              <w:left w:val="nil"/>
              <w:bottom w:val="nil"/>
              <w:right w:val="nil"/>
            </w:tcBorders>
            <w:shd w:val="clear" w:color="auto" w:fill="auto"/>
            <w:noWrap/>
            <w:vAlign w:val="center"/>
            <w:hideMark/>
          </w:tcPr>
          <w:p w14:paraId="690CAE76"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268DC4A1"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BGN</w:t>
            </w:r>
          </w:p>
        </w:tc>
        <w:tc>
          <w:tcPr>
            <w:tcW w:w="0" w:type="auto"/>
            <w:tcBorders>
              <w:top w:val="nil"/>
              <w:left w:val="nil"/>
              <w:bottom w:val="nil"/>
              <w:right w:val="nil"/>
            </w:tcBorders>
            <w:shd w:val="clear" w:color="auto" w:fill="auto"/>
            <w:noWrap/>
            <w:vAlign w:val="center"/>
            <w:hideMark/>
          </w:tcPr>
          <w:p w14:paraId="27BD0D36"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P06</w:t>
            </w:r>
          </w:p>
        </w:tc>
        <w:tc>
          <w:tcPr>
            <w:tcW w:w="0" w:type="auto"/>
            <w:tcBorders>
              <w:top w:val="nil"/>
              <w:left w:val="nil"/>
              <w:bottom w:val="nil"/>
              <w:right w:val="nil"/>
            </w:tcBorders>
            <w:shd w:val="clear" w:color="auto" w:fill="auto"/>
            <w:noWrap/>
            <w:vAlign w:val="center"/>
            <w:hideMark/>
          </w:tcPr>
          <w:p w14:paraId="1AB0975A"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96,25</w:t>
            </w:r>
          </w:p>
        </w:tc>
      </w:tr>
      <w:tr w:rsidR="00520B89" w:rsidRPr="00520B89" w14:paraId="29CAF832" w14:textId="77777777" w:rsidTr="00520B89">
        <w:trPr>
          <w:trHeight w:val="288"/>
        </w:trPr>
        <w:tc>
          <w:tcPr>
            <w:tcW w:w="0" w:type="auto"/>
            <w:tcBorders>
              <w:top w:val="nil"/>
              <w:left w:val="nil"/>
              <w:bottom w:val="nil"/>
              <w:right w:val="nil"/>
            </w:tcBorders>
            <w:shd w:val="clear" w:color="auto" w:fill="auto"/>
            <w:noWrap/>
            <w:vAlign w:val="center"/>
            <w:hideMark/>
          </w:tcPr>
          <w:p w14:paraId="568A499E"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JCN</w:t>
            </w:r>
          </w:p>
        </w:tc>
        <w:tc>
          <w:tcPr>
            <w:tcW w:w="0" w:type="auto"/>
            <w:tcBorders>
              <w:top w:val="nil"/>
              <w:left w:val="nil"/>
              <w:bottom w:val="nil"/>
              <w:right w:val="nil"/>
            </w:tcBorders>
            <w:shd w:val="clear" w:color="auto" w:fill="auto"/>
            <w:noWrap/>
            <w:vAlign w:val="center"/>
            <w:hideMark/>
          </w:tcPr>
          <w:p w14:paraId="1237142F"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P04</w:t>
            </w:r>
          </w:p>
        </w:tc>
        <w:tc>
          <w:tcPr>
            <w:tcW w:w="0" w:type="auto"/>
            <w:tcBorders>
              <w:top w:val="nil"/>
              <w:left w:val="nil"/>
              <w:bottom w:val="nil"/>
              <w:right w:val="nil"/>
            </w:tcBorders>
            <w:shd w:val="clear" w:color="auto" w:fill="auto"/>
            <w:noWrap/>
            <w:vAlign w:val="center"/>
            <w:hideMark/>
          </w:tcPr>
          <w:p w14:paraId="660E041F"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97,23</w:t>
            </w:r>
          </w:p>
        </w:tc>
        <w:tc>
          <w:tcPr>
            <w:tcW w:w="0" w:type="auto"/>
            <w:tcBorders>
              <w:top w:val="nil"/>
              <w:left w:val="nil"/>
              <w:bottom w:val="nil"/>
              <w:right w:val="nil"/>
            </w:tcBorders>
            <w:shd w:val="clear" w:color="auto" w:fill="auto"/>
            <w:noWrap/>
            <w:vAlign w:val="center"/>
            <w:hideMark/>
          </w:tcPr>
          <w:p w14:paraId="42C10A2E"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02B0564A"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GRI</w:t>
            </w:r>
          </w:p>
        </w:tc>
        <w:tc>
          <w:tcPr>
            <w:tcW w:w="0" w:type="auto"/>
            <w:tcBorders>
              <w:top w:val="nil"/>
              <w:left w:val="nil"/>
              <w:bottom w:val="nil"/>
              <w:right w:val="nil"/>
            </w:tcBorders>
            <w:shd w:val="clear" w:color="auto" w:fill="auto"/>
            <w:noWrap/>
            <w:vAlign w:val="center"/>
            <w:hideMark/>
          </w:tcPr>
          <w:p w14:paraId="41EB049D"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P02</w:t>
            </w:r>
          </w:p>
        </w:tc>
        <w:tc>
          <w:tcPr>
            <w:tcW w:w="0" w:type="auto"/>
            <w:tcBorders>
              <w:top w:val="nil"/>
              <w:left w:val="nil"/>
              <w:bottom w:val="nil"/>
              <w:right w:val="nil"/>
            </w:tcBorders>
            <w:shd w:val="clear" w:color="auto" w:fill="auto"/>
            <w:noWrap/>
            <w:vAlign w:val="center"/>
            <w:hideMark/>
          </w:tcPr>
          <w:p w14:paraId="701CC98F"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96,84</w:t>
            </w:r>
          </w:p>
        </w:tc>
        <w:tc>
          <w:tcPr>
            <w:tcW w:w="0" w:type="auto"/>
            <w:tcBorders>
              <w:top w:val="nil"/>
              <w:left w:val="nil"/>
              <w:bottom w:val="nil"/>
              <w:right w:val="nil"/>
            </w:tcBorders>
            <w:shd w:val="clear" w:color="auto" w:fill="auto"/>
            <w:noWrap/>
            <w:vAlign w:val="center"/>
            <w:hideMark/>
          </w:tcPr>
          <w:p w14:paraId="1B6D7195" w14:textId="77777777"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50AB13B4"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BGN</w:t>
            </w:r>
          </w:p>
        </w:tc>
        <w:tc>
          <w:tcPr>
            <w:tcW w:w="0" w:type="auto"/>
            <w:tcBorders>
              <w:top w:val="nil"/>
              <w:left w:val="nil"/>
              <w:bottom w:val="nil"/>
              <w:right w:val="nil"/>
            </w:tcBorders>
            <w:shd w:val="clear" w:color="auto" w:fill="auto"/>
            <w:noWrap/>
            <w:vAlign w:val="center"/>
            <w:hideMark/>
          </w:tcPr>
          <w:p w14:paraId="4E1FD188"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P07</w:t>
            </w:r>
          </w:p>
        </w:tc>
        <w:tc>
          <w:tcPr>
            <w:tcW w:w="0" w:type="auto"/>
            <w:tcBorders>
              <w:top w:val="nil"/>
              <w:left w:val="nil"/>
              <w:bottom w:val="nil"/>
              <w:right w:val="nil"/>
            </w:tcBorders>
            <w:shd w:val="clear" w:color="auto" w:fill="auto"/>
            <w:noWrap/>
            <w:vAlign w:val="center"/>
            <w:hideMark/>
          </w:tcPr>
          <w:p w14:paraId="35B632E3"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96,72</w:t>
            </w:r>
          </w:p>
        </w:tc>
      </w:tr>
      <w:tr w:rsidR="00520B89" w:rsidRPr="00520B89" w14:paraId="4A618AED" w14:textId="77777777" w:rsidTr="00520B89">
        <w:trPr>
          <w:trHeight w:val="288"/>
        </w:trPr>
        <w:tc>
          <w:tcPr>
            <w:tcW w:w="0" w:type="auto"/>
            <w:tcBorders>
              <w:top w:val="nil"/>
              <w:left w:val="nil"/>
              <w:bottom w:val="single" w:sz="4" w:space="0" w:color="auto"/>
              <w:right w:val="nil"/>
            </w:tcBorders>
            <w:shd w:val="clear" w:color="auto" w:fill="auto"/>
            <w:noWrap/>
            <w:vAlign w:val="center"/>
            <w:hideMark/>
          </w:tcPr>
          <w:p w14:paraId="6AA065D0" w14:textId="19995524" w:rsidR="00790498" w:rsidRPr="00520B89" w:rsidRDefault="00790498" w:rsidP="00520B89">
            <w:pPr>
              <w:spacing w:line="360" w:lineRule="auto"/>
              <w:jc w:val="center"/>
              <w:rPr>
                <w:rFonts w:ascii="Times New Roman" w:hAnsi="Times New Roman" w:cs="Times New Roman"/>
                <w:sz w:val="24"/>
                <w:szCs w:val="24"/>
              </w:rPr>
            </w:pPr>
          </w:p>
        </w:tc>
        <w:tc>
          <w:tcPr>
            <w:tcW w:w="0" w:type="auto"/>
            <w:tcBorders>
              <w:top w:val="nil"/>
              <w:left w:val="nil"/>
              <w:bottom w:val="single" w:sz="4" w:space="0" w:color="auto"/>
              <w:right w:val="nil"/>
            </w:tcBorders>
            <w:shd w:val="clear" w:color="auto" w:fill="auto"/>
            <w:noWrap/>
            <w:vAlign w:val="center"/>
            <w:hideMark/>
          </w:tcPr>
          <w:p w14:paraId="266EB9A0" w14:textId="77777777" w:rsidR="00790498" w:rsidRPr="00520B89" w:rsidRDefault="00790498" w:rsidP="00520B89">
            <w:pPr>
              <w:spacing w:line="360" w:lineRule="auto"/>
              <w:jc w:val="center"/>
              <w:rPr>
                <w:rFonts w:ascii="Times New Roman" w:hAnsi="Times New Roman" w:cs="Times New Roman"/>
                <w:sz w:val="24"/>
                <w:szCs w:val="24"/>
              </w:rPr>
            </w:pPr>
          </w:p>
        </w:tc>
        <w:tc>
          <w:tcPr>
            <w:tcW w:w="0" w:type="auto"/>
            <w:tcBorders>
              <w:top w:val="nil"/>
              <w:left w:val="nil"/>
              <w:bottom w:val="single" w:sz="4" w:space="0" w:color="auto"/>
              <w:right w:val="nil"/>
            </w:tcBorders>
            <w:shd w:val="clear" w:color="auto" w:fill="auto"/>
            <w:noWrap/>
            <w:vAlign w:val="center"/>
            <w:hideMark/>
          </w:tcPr>
          <w:p w14:paraId="00D3F988" w14:textId="77777777" w:rsidR="00790498" w:rsidRPr="00520B89" w:rsidRDefault="00790498" w:rsidP="00520B89">
            <w:pPr>
              <w:spacing w:line="360" w:lineRule="auto"/>
              <w:jc w:val="center"/>
              <w:rPr>
                <w:rFonts w:ascii="Times New Roman" w:hAnsi="Times New Roman" w:cs="Times New Roman"/>
                <w:sz w:val="24"/>
                <w:szCs w:val="24"/>
              </w:rPr>
            </w:pPr>
          </w:p>
        </w:tc>
        <w:tc>
          <w:tcPr>
            <w:tcW w:w="0" w:type="auto"/>
            <w:tcBorders>
              <w:top w:val="nil"/>
              <w:left w:val="nil"/>
              <w:bottom w:val="single" w:sz="4" w:space="0" w:color="auto"/>
              <w:right w:val="nil"/>
            </w:tcBorders>
            <w:shd w:val="clear" w:color="auto" w:fill="auto"/>
            <w:noWrap/>
            <w:vAlign w:val="center"/>
            <w:hideMark/>
          </w:tcPr>
          <w:p w14:paraId="5F18980B" w14:textId="2A63FE0D"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single" w:sz="4" w:space="0" w:color="auto"/>
              <w:right w:val="nil"/>
            </w:tcBorders>
            <w:shd w:val="clear" w:color="auto" w:fill="auto"/>
            <w:noWrap/>
            <w:vAlign w:val="center"/>
            <w:hideMark/>
          </w:tcPr>
          <w:p w14:paraId="4D8DBC55" w14:textId="5916067F" w:rsidR="00790498" w:rsidRPr="00520B89" w:rsidRDefault="00790498" w:rsidP="00520B89">
            <w:pPr>
              <w:spacing w:line="360" w:lineRule="auto"/>
              <w:jc w:val="center"/>
              <w:rPr>
                <w:rFonts w:ascii="Times New Roman" w:hAnsi="Times New Roman" w:cs="Times New Roman"/>
                <w:sz w:val="24"/>
                <w:szCs w:val="24"/>
              </w:rPr>
            </w:pPr>
          </w:p>
        </w:tc>
        <w:tc>
          <w:tcPr>
            <w:tcW w:w="0" w:type="auto"/>
            <w:tcBorders>
              <w:top w:val="nil"/>
              <w:left w:val="nil"/>
              <w:bottom w:val="single" w:sz="4" w:space="0" w:color="auto"/>
              <w:right w:val="nil"/>
            </w:tcBorders>
            <w:shd w:val="clear" w:color="auto" w:fill="auto"/>
            <w:noWrap/>
            <w:vAlign w:val="center"/>
            <w:hideMark/>
          </w:tcPr>
          <w:p w14:paraId="517EE21E" w14:textId="77777777" w:rsidR="00790498" w:rsidRPr="00520B89" w:rsidRDefault="00790498" w:rsidP="00520B89">
            <w:pPr>
              <w:spacing w:line="360" w:lineRule="auto"/>
              <w:jc w:val="center"/>
              <w:rPr>
                <w:rFonts w:ascii="Times New Roman" w:hAnsi="Times New Roman" w:cs="Times New Roman"/>
                <w:sz w:val="24"/>
                <w:szCs w:val="24"/>
              </w:rPr>
            </w:pPr>
          </w:p>
        </w:tc>
        <w:tc>
          <w:tcPr>
            <w:tcW w:w="0" w:type="auto"/>
            <w:tcBorders>
              <w:top w:val="nil"/>
              <w:left w:val="nil"/>
              <w:bottom w:val="single" w:sz="4" w:space="0" w:color="auto"/>
              <w:right w:val="nil"/>
            </w:tcBorders>
            <w:shd w:val="clear" w:color="auto" w:fill="auto"/>
            <w:noWrap/>
            <w:vAlign w:val="center"/>
            <w:hideMark/>
          </w:tcPr>
          <w:p w14:paraId="0BB57F8E" w14:textId="77777777" w:rsidR="00790498" w:rsidRPr="00520B89" w:rsidRDefault="00790498" w:rsidP="00520B89">
            <w:pPr>
              <w:spacing w:line="360" w:lineRule="auto"/>
              <w:jc w:val="center"/>
              <w:rPr>
                <w:rFonts w:ascii="Times New Roman" w:hAnsi="Times New Roman" w:cs="Times New Roman"/>
                <w:sz w:val="24"/>
                <w:szCs w:val="24"/>
              </w:rPr>
            </w:pPr>
          </w:p>
        </w:tc>
        <w:tc>
          <w:tcPr>
            <w:tcW w:w="0" w:type="auto"/>
            <w:tcBorders>
              <w:top w:val="nil"/>
              <w:left w:val="nil"/>
              <w:bottom w:val="single" w:sz="4" w:space="0" w:color="auto"/>
              <w:right w:val="nil"/>
            </w:tcBorders>
            <w:shd w:val="clear" w:color="auto" w:fill="auto"/>
            <w:noWrap/>
            <w:vAlign w:val="center"/>
            <w:hideMark/>
          </w:tcPr>
          <w:p w14:paraId="4CEB1838" w14:textId="3D0424CE" w:rsidR="00790498" w:rsidRPr="00520B89" w:rsidRDefault="00790498" w:rsidP="00520B89">
            <w:pPr>
              <w:spacing w:line="360" w:lineRule="auto"/>
              <w:ind w:firstLine="502"/>
              <w:jc w:val="center"/>
              <w:rPr>
                <w:rFonts w:ascii="Times New Roman" w:hAnsi="Times New Roman" w:cs="Times New Roman"/>
                <w:sz w:val="24"/>
                <w:szCs w:val="24"/>
              </w:rPr>
            </w:pPr>
          </w:p>
        </w:tc>
        <w:tc>
          <w:tcPr>
            <w:tcW w:w="0" w:type="auto"/>
            <w:tcBorders>
              <w:top w:val="nil"/>
              <w:left w:val="nil"/>
              <w:bottom w:val="single" w:sz="4" w:space="0" w:color="auto"/>
              <w:right w:val="nil"/>
            </w:tcBorders>
            <w:shd w:val="clear" w:color="auto" w:fill="auto"/>
            <w:noWrap/>
            <w:vAlign w:val="center"/>
            <w:hideMark/>
          </w:tcPr>
          <w:p w14:paraId="720CE792"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BGN</w:t>
            </w:r>
          </w:p>
        </w:tc>
        <w:tc>
          <w:tcPr>
            <w:tcW w:w="0" w:type="auto"/>
            <w:tcBorders>
              <w:top w:val="nil"/>
              <w:left w:val="nil"/>
              <w:bottom w:val="single" w:sz="4" w:space="0" w:color="auto"/>
              <w:right w:val="nil"/>
            </w:tcBorders>
            <w:shd w:val="clear" w:color="auto" w:fill="auto"/>
            <w:noWrap/>
            <w:vAlign w:val="center"/>
            <w:hideMark/>
          </w:tcPr>
          <w:p w14:paraId="741CB3F6"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P08</w:t>
            </w:r>
          </w:p>
        </w:tc>
        <w:tc>
          <w:tcPr>
            <w:tcW w:w="0" w:type="auto"/>
            <w:tcBorders>
              <w:top w:val="nil"/>
              <w:left w:val="nil"/>
              <w:bottom w:val="single" w:sz="4" w:space="0" w:color="auto"/>
              <w:right w:val="nil"/>
            </w:tcBorders>
            <w:shd w:val="clear" w:color="auto" w:fill="auto"/>
            <w:noWrap/>
            <w:vAlign w:val="center"/>
            <w:hideMark/>
          </w:tcPr>
          <w:p w14:paraId="0C30E22D" w14:textId="77777777" w:rsidR="00790498" w:rsidRPr="00520B89" w:rsidRDefault="00790498" w:rsidP="00520B89">
            <w:pPr>
              <w:spacing w:line="360" w:lineRule="auto"/>
              <w:jc w:val="center"/>
              <w:rPr>
                <w:rFonts w:ascii="Times New Roman" w:hAnsi="Times New Roman" w:cs="Times New Roman"/>
                <w:sz w:val="24"/>
                <w:szCs w:val="24"/>
              </w:rPr>
            </w:pPr>
            <w:r w:rsidRPr="00520B89">
              <w:rPr>
                <w:rFonts w:ascii="Times New Roman" w:hAnsi="Times New Roman" w:cs="Times New Roman"/>
                <w:sz w:val="24"/>
                <w:szCs w:val="24"/>
              </w:rPr>
              <w:t>97,49</w:t>
            </w:r>
          </w:p>
        </w:tc>
      </w:tr>
    </w:tbl>
    <w:p w14:paraId="1B1B70E1" w14:textId="4C4CE139" w:rsidR="00790498" w:rsidRPr="00622114" w:rsidRDefault="00790498" w:rsidP="00520B89">
      <w:pPr>
        <w:spacing w:line="360" w:lineRule="auto"/>
        <w:jc w:val="both"/>
        <w:rPr>
          <w:rFonts w:ascii="Times New Roman" w:hAnsi="Times New Roman" w:cs="Times New Roman"/>
          <w:sz w:val="24"/>
          <w:szCs w:val="24"/>
        </w:rPr>
      </w:pPr>
    </w:p>
    <w:p w14:paraId="06C625DC" w14:textId="77777777"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sz w:val="24"/>
          <w:szCs w:val="24"/>
        </w:rPr>
        <w:t>No ARM houve uma leve tendência de equipamentos mais novos apresentar valores de CUC maiores (Figura 6), porém, a regressão não foi significativa (α = 0,05). O que indica que mesmo equipamentos de irrigação mais antigos podem apresentar uma uniformidade de distribuição de água adequada, desde que a manutenção do sistema seja feita adequadamente. Com o tempo de uso há desgaste de emissores, válvulas reguladoras de pressão, bomba (rotor e carcaça) e motor elétrico. Por isso, o monitoramento constante e a substituição de componentes após sua vida útil são fundamentais para manter a performance do equipamento.</w:t>
      </w:r>
    </w:p>
    <w:p w14:paraId="7AA70C49" w14:textId="77777777" w:rsidR="00790498" w:rsidRPr="00622114" w:rsidRDefault="00790498" w:rsidP="00622114">
      <w:pPr>
        <w:spacing w:line="360" w:lineRule="auto"/>
        <w:ind w:firstLine="502"/>
        <w:jc w:val="both"/>
        <w:rPr>
          <w:rFonts w:ascii="Times New Roman" w:hAnsi="Times New Roman" w:cs="Times New Roman"/>
          <w:sz w:val="24"/>
          <w:szCs w:val="24"/>
        </w:rPr>
      </w:pPr>
    </w:p>
    <w:p w14:paraId="758F4287" w14:textId="77777777"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noProof/>
          <w:sz w:val="24"/>
          <w:szCs w:val="24"/>
        </w:rPr>
        <w:lastRenderedPageBreak/>
        <w:drawing>
          <wp:inline distT="0" distB="0" distL="0" distR="0" wp14:anchorId="6F0F0F37" wp14:editId="2FC7A4AC">
            <wp:extent cx="5760720" cy="2880360"/>
            <wp:effectExtent l="0" t="0" r="0" b="0"/>
            <wp:docPr id="9" name="Imagem 9"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Gráfico, Gráfico de dispersão&#10;&#10;Descrição gerad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13F8388C" w14:textId="4EBAE837" w:rsidR="00790498" w:rsidRPr="00622114" w:rsidRDefault="00790498" w:rsidP="00622114">
      <w:pPr>
        <w:spacing w:line="360" w:lineRule="auto"/>
        <w:ind w:firstLine="502"/>
        <w:jc w:val="both"/>
        <w:rPr>
          <w:rFonts w:ascii="Times New Roman" w:hAnsi="Times New Roman" w:cs="Times New Roman"/>
          <w:sz w:val="24"/>
          <w:szCs w:val="24"/>
        </w:rPr>
      </w:pPr>
      <w:bookmarkStart w:id="2" w:name="_Toc117497859"/>
      <w:r w:rsidRPr="00520B89">
        <w:rPr>
          <w:rFonts w:ascii="Times New Roman" w:hAnsi="Times New Roman" w:cs="Times New Roman"/>
          <w:b/>
          <w:bCs/>
          <w:sz w:val="24"/>
          <w:szCs w:val="24"/>
        </w:rPr>
        <w:t xml:space="preserve">Figura </w:t>
      </w:r>
      <w:r w:rsidRPr="00520B89">
        <w:rPr>
          <w:rFonts w:ascii="Times New Roman" w:hAnsi="Times New Roman" w:cs="Times New Roman"/>
          <w:b/>
          <w:bCs/>
          <w:sz w:val="24"/>
          <w:szCs w:val="24"/>
        </w:rPr>
        <w:fldChar w:fldCharType="begin"/>
      </w:r>
      <w:r w:rsidRPr="00520B89">
        <w:rPr>
          <w:rFonts w:ascii="Times New Roman" w:hAnsi="Times New Roman" w:cs="Times New Roman"/>
          <w:b/>
          <w:bCs/>
          <w:sz w:val="24"/>
          <w:szCs w:val="24"/>
        </w:rPr>
        <w:instrText xml:space="preserve"> SEQ Figure \* ARABIC </w:instrText>
      </w:r>
      <w:r w:rsidRPr="00520B89">
        <w:rPr>
          <w:rFonts w:ascii="Times New Roman" w:hAnsi="Times New Roman" w:cs="Times New Roman"/>
          <w:b/>
          <w:bCs/>
          <w:sz w:val="24"/>
          <w:szCs w:val="24"/>
        </w:rPr>
        <w:fldChar w:fldCharType="separate"/>
      </w:r>
      <w:r w:rsidR="009B2B78">
        <w:rPr>
          <w:rFonts w:ascii="Times New Roman" w:hAnsi="Times New Roman" w:cs="Times New Roman"/>
          <w:b/>
          <w:bCs/>
          <w:noProof/>
          <w:sz w:val="24"/>
          <w:szCs w:val="24"/>
        </w:rPr>
        <w:t>6</w:t>
      </w:r>
      <w:r w:rsidRPr="00520B89">
        <w:rPr>
          <w:rFonts w:ascii="Times New Roman" w:hAnsi="Times New Roman" w:cs="Times New Roman"/>
          <w:b/>
          <w:bCs/>
          <w:sz w:val="24"/>
          <w:szCs w:val="24"/>
        </w:rPr>
        <w:fldChar w:fldCharType="end"/>
      </w:r>
      <w:r w:rsidRPr="00622114">
        <w:rPr>
          <w:rFonts w:ascii="Times New Roman" w:hAnsi="Times New Roman" w:cs="Times New Roman"/>
          <w:sz w:val="24"/>
          <w:szCs w:val="24"/>
        </w:rPr>
        <w:t xml:space="preserve"> – Regressão e resíduos da regressão entre Coeficiente de Uniformidade de Christiansen (CUC, %) e ano de implantação do equipamento de irrigação no ARM.</w:t>
      </w:r>
      <w:bookmarkEnd w:id="2"/>
      <w:r w:rsidRPr="00622114">
        <w:rPr>
          <w:rFonts w:ascii="Times New Roman" w:hAnsi="Times New Roman" w:cs="Times New Roman"/>
          <w:sz w:val="24"/>
          <w:szCs w:val="24"/>
        </w:rPr>
        <w:t xml:space="preserve"> No gráfico a esquerda, a linha horizontal verde indica a média dos resultados, a linha azul representa a regressão linear entre as variáveis e a faixa azulada representa o intervalo de confiança da regressão (α = 0,05).</w:t>
      </w:r>
    </w:p>
    <w:p w14:paraId="349DFDF2" w14:textId="77777777"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sz w:val="24"/>
          <w:szCs w:val="24"/>
        </w:rPr>
        <w:br w:type="page"/>
      </w:r>
    </w:p>
    <w:p w14:paraId="2C23F166" w14:textId="77777777"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sz w:val="24"/>
          <w:szCs w:val="24"/>
        </w:rPr>
        <w:lastRenderedPageBreak/>
        <w:t xml:space="preserve">A lâmina de irrigação coletada no teste de campo do ARM apresentou positiva correlação com lâmina de irrigação esperada com base carta de aspersores (Figura 7). No entanto, observou-se que a lâmina coletada variou entre -39,63 e 26,09 % comparado com a lâmina de irrigação esperada, sendo em média -13,37% inferior. Esses resultados indicam que os equipamentos tendem a ter uma lâmina de irrigação real menor do que a lâmina esperada. Essa variação é causada devido à condição climática durante o teste. Alta valores de velocidade do vento, temperatura do ar e radiação solar e baixa umidade relativa do ar são condições climáticas que aumentam as perdas de água por evaporação e arraste pelo vento </w:t>
      </w:r>
      <w:sdt>
        <w:sdtPr>
          <w:rPr>
            <w:rFonts w:ascii="Times New Roman" w:hAnsi="Times New Roman" w:cs="Times New Roman"/>
            <w:sz w:val="24"/>
            <w:szCs w:val="24"/>
          </w:rPr>
          <w:tag w:val="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"/>
          <w:id w:val="-248279385"/>
          <w:placeholder>
            <w:docPart w:val="F527390EAF89467E8D26A5C103F14657"/>
          </w:placeholder>
        </w:sdtPr>
        <w:sdtEndPr/>
        <w:sdtContent>
          <w:r w:rsidRPr="00622114">
            <w:rPr>
              <w:rFonts w:ascii="Times New Roman" w:hAnsi="Times New Roman" w:cs="Times New Roman"/>
              <w:sz w:val="24"/>
              <w:szCs w:val="24"/>
            </w:rPr>
            <w:t>(LOURENÇO, 2018; PLAYÁN et al., 2005; TARJUELO et al., 2000)</w:t>
          </w:r>
        </w:sdtContent>
      </w:sdt>
      <w:r w:rsidRPr="00622114">
        <w:rPr>
          <w:rFonts w:ascii="Times New Roman" w:hAnsi="Times New Roman" w:cs="Times New Roman"/>
          <w:sz w:val="24"/>
          <w:szCs w:val="24"/>
        </w:rPr>
        <w:t>. Além disso, pode haver problemas hidráulicos que compromete a pressão de operação dos emissores. O que causa assimetria entre lâmina de irrigação coletada e esperada.</w:t>
      </w:r>
    </w:p>
    <w:p w14:paraId="79F0B0A4" w14:textId="77777777" w:rsidR="00790498" w:rsidRPr="00622114" w:rsidRDefault="00790498" w:rsidP="00622114">
      <w:pPr>
        <w:spacing w:line="360" w:lineRule="auto"/>
        <w:ind w:firstLine="502"/>
        <w:jc w:val="both"/>
        <w:rPr>
          <w:rFonts w:ascii="Times New Roman" w:hAnsi="Times New Roman" w:cs="Times New Roman"/>
          <w:sz w:val="24"/>
          <w:szCs w:val="24"/>
        </w:rPr>
      </w:pPr>
    </w:p>
    <w:p w14:paraId="21B57492" w14:textId="77777777" w:rsidR="00790498" w:rsidRPr="00622114" w:rsidRDefault="00790498" w:rsidP="00622114">
      <w:pPr>
        <w:spacing w:line="360" w:lineRule="auto"/>
        <w:ind w:firstLine="502"/>
        <w:jc w:val="both"/>
        <w:rPr>
          <w:rFonts w:ascii="Times New Roman" w:hAnsi="Times New Roman" w:cs="Times New Roman"/>
          <w:sz w:val="24"/>
          <w:szCs w:val="24"/>
        </w:rPr>
      </w:pPr>
      <w:bookmarkStart w:id="3" w:name="_Toc117497860"/>
      <w:r w:rsidRPr="00622114">
        <w:rPr>
          <w:rFonts w:ascii="Times New Roman" w:hAnsi="Times New Roman" w:cs="Times New Roman"/>
          <w:noProof/>
          <w:sz w:val="24"/>
          <w:szCs w:val="24"/>
        </w:rPr>
        <w:drawing>
          <wp:inline distT="0" distB="0" distL="0" distR="0" wp14:anchorId="19051F59" wp14:editId="74904A08">
            <wp:extent cx="5760720" cy="2880360"/>
            <wp:effectExtent l="0" t="0" r="0" b="0"/>
            <wp:docPr id="10" name="Imagem 10"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Gráfico&#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4945DB95" w14:textId="5C2FCB9D" w:rsidR="00790498" w:rsidRPr="00622114" w:rsidRDefault="00790498" w:rsidP="00622114">
      <w:pPr>
        <w:spacing w:line="360" w:lineRule="auto"/>
        <w:ind w:firstLine="502"/>
        <w:jc w:val="both"/>
        <w:rPr>
          <w:rFonts w:ascii="Times New Roman" w:hAnsi="Times New Roman" w:cs="Times New Roman"/>
          <w:sz w:val="24"/>
          <w:szCs w:val="24"/>
        </w:rPr>
      </w:pPr>
      <w:r w:rsidRPr="00520B89">
        <w:rPr>
          <w:rFonts w:ascii="Times New Roman" w:hAnsi="Times New Roman" w:cs="Times New Roman"/>
          <w:b/>
          <w:bCs/>
          <w:sz w:val="24"/>
          <w:szCs w:val="24"/>
        </w:rPr>
        <w:t xml:space="preserve">Figura </w:t>
      </w:r>
      <w:r w:rsidRPr="00520B89">
        <w:rPr>
          <w:rFonts w:ascii="Times New Roman" w:hAnsi="Times New Roman" w:cs="Times New Roman"/>
          <w:b/>
          <w:bCs/>
          <w:sz w:val="24"/>
          <w:szCs w:val="24"/>
        </w:rPr>
        <w:fldChar w:fldCharType="begin"/>
      </w:r>
      <w:r w:rsidRPr="00520B89">
        <w:rPr>
          <w:rFonts w:ascii="Times New Roman" w:hAnsi="Times New Roman" w:cs="Times New Roman"/>
          <w:b/>
          <w:bCs/>
          <w:sz w:val="24"/>
          <w:szCs w:val="24"/>
        </w:rPr>
        <w:instrText xml:space="preserve"> SEQ Figure \* ARABIC </w:instrText>
      </w:r>
      <w:r w:rsidRPr="00520B89">
        <w:rPr>
          <w:rFonts w:ascii="Times New Roman" w:hAnsi="Times New Roman" w:cs="Times New Roman"/>
          <w:b/>
          <w:bCs/>
          <w:sz w:val="24"/>
          <w:szCs w:val="24"/>
        </w:rPr>
        <w:fldChar w:fldCharType="separate"/>
      </w:r>
      <w:r w:rsidR="009B2B78">
        <w:rPr>
          <w:rFonts w:ascii="Times New Roman" w:hAnsi="Times New Roman" w:cs="Times New Roman"/>
          <w:b/>
          <w:bCs/>
          <w:noProof/>
          <w:sz w:val="24"/>
          <w:szCs w:val="24"/>
        </w:rPr>
        <w:t>7</w:t>
      </w:r>
      <w:r w:rsidRPr="00520B89">
        <w:rPr>
          <w:rFonts w:ascii="Times New Roman" w:hAnsi="Times New Roman" w:cs="Times New Roman"/>
          <w:b/>
          <w:bCs/>
          <w:sz w:val="24"/>
          <w:szCs w:val="24"/>
        </w:rPr>
        <w:fldChar w:fldCharType="end"/>
      </w:r>
      <w:r w:rsidRPr="00622114">
        <w:rPr>
          <w:rFonts w:ascii="Times New Roman" w:hAnsi="Times New Roman" w:cs="Times New Roman"/>
          <w:sz w:val="24"/>
          <w:szCs w:val="24"/>
        </w:rPr>
        <w:t xml:space="preserve"> – Relação entre a lâmina média coletada e esperada durante o teste de CUC no ARM bem como sua distribuição.</w:t>
      </w:r>
      <w:bookmarkEnd w:id="3"/>
      <w:r w:rsidRPr="00622114">
        <w:rPr>
          <w:rFonts w:ascii="Times New Roman" w:hAnsi="Times New Roman" w:cs="Times New Roman"/>
          <w:sz w:val="24"/>
          <w:szCs w:val="24"/>
        </w:rPr>
        <w:t xml:space="preserve"> A linha azul representa a regressão linear, enquanto a faixa azulada representa o intervalo de confiança da regressão (α = 0,05). Pontos acima da linha preta pontilhada indicam que a lâmina coletada foi menor que a esperada.</w:t>
      </w:r>
    </w:p>
    <w:p w14:paraId="1805B51A" w14:textId="77777777"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sz w:val="24"/>
          <w:szCs w:val="24"/>
        </w:rPr>
        <w:br w:type="page"/>
      </w:r>
    </w:p>
    <w:p w14:paraId="2E017559" w14:textId="77777777"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sz w:val="24"/>
          <w:szCs w:val="24"/>
        </w:rPr>
        <w:lastRenderedPageBreak/>
        <w:t>Os valores de CUC com base na lâmina coletada e na lâmina estimada no ARM apresentaram positiva correlação (Figura 8). Contudo, a análise de regressão indicou ausência de diferença. O que indica que a análise da carta de aspersores para obter a lâmina esperada e, consequente, o valor de CUC se mostrou metodologia útil. Com isso, a análise da performance do equipamento pode ser feita de forma preliminar sem necessidade de acionar a irrigação, economizando água e energia elétrica, gerando maior escalabilidade para avaliar muitos equipamentos.</w:t>
      </w:r>
    </w:p>
    <w:p w14:paraId="08FF9514" w14:textId="77777777" w:rsidR="00790498" w:rsidRPr="00622114" w:rsidRDefault="00790498" w:rsidP="00622114">
      <w:pPr>
        <w:spacing w:line="360" w:lineRule="auto"/>
        <w:ind w:firstLine="502"/>
        <w:jc w:val="both"/>
        <w:rPr>
          <w:rFonts w:ascii="Times New Roman" w:hAnsi="Times New Roman" w:cs="Times New Roman"/>
          <w:sz w:val="24"/>
          <w:szCs w:val="24"/>
        </w:rPr>
      </w:pPr>
    </w:p>
    <w:p w14:paraId="5006C727" w14:textId="77777777"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noProof/>
          <w:sz w:val="24"/>
          <w:szCs w:val="24"/>
        </w:rPr>
        <w:drawing>
          <wp:inline distT="0" distB="0" distL="0" distR="0" wp14:anchorId="5E7517A8" wp14:editId="4D196085">
            <wp:extent cx="5760720" cy="2880360"/>
            <wp:effectExtent l="0" t="0" r="0" b="0"/>
            <wp:docPr id="11" name="Imagem 11"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Gráfico, Gráfico de dispersão&#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2F13076C" w14:textId="44DBBBFE" w:rsidR="00790498" w:rsidRPr="00622114" w:rsidRDefault="00790498" w:rsidP="00622114">
      <w:pPr>
        <w:spacing w:line="360" w:lineRule="auto"/>
        <w:ind w:firstLine="502"/>
        <w:jc w:val="both"/>
        <w:rPr>
          <w:rFonts w:ascii="Times New Roman" w:hAnsi="Times New Roman" w:cs="Times New Roman"/>
          <w:sz w:val="24"/>
          <w:szCs w:val="24"/>
        </w:rPr>
      </w:pPr>
      <w:bookmarkStart w:id="4" w:name="_Toc117497861"/>
      <w:r w:rsidRPr="00520B89">
        <w:rPr>
          <w:rFonts w:ascii="Times New Roman" w:hAnsi="Times New Roman" w:cs="Times New Roman"/>
          <w:b/>
          <w:bCs/>
          <w:sz w:val="24"/>
          <w:szCs w:val="24"/>
        </w:rPr>
        <w:t xml:space="preserve">Figura </w:t>
      </w:r>
      <w:r w:rsidRPr="00520B89">
        <w:rPr>
          <w:rFonts w:ascii="Times New Roman" w:hAnsi="Times New Roman" w:cs="Times New Roman"/>
          <w:b/>
          <w:bCs/>
          <w:sz w:val="24"/>
          <w:szCs w:val="24"/>
        </w:rPr>
        <w:fldChar w:fldCharType="begin"/>
      </w:r>
      <w:r w:rsidRPr="00520B89">
        <w:rPr>
          <w:rFonts w:ascii="Times New Roman" w:hAnsi="Times New Roman" w:cs="Times New Roman"/>
          <w:b/>
          <w:bCs/>
          <w:sz w:val="24"/>
          <w:szCs w:val="24"/>
        </w:rPr>
        <w:instrText xml:space="preserve"> SEQ Figure \* ARABIC </w:instrText>
      </w:r>
      <w:r w:rsidRPr="00520B89">
        <w:rPr>
          <w:rFonts w:ascii="Times New Roman" w:hAnsi="Times New Roman" w:cs="Times New Roman"/>
          <w:b/>
          <w:bCs/>
          <w:sz w:val="24"/>
          <w:szCs w:val="24"/>
        </w:rPr>
        <w:fldChar w:fldCharType="separate"/>
      </w:r>
      <w:r w:rsidR="009B2B78">
        <w:rPr>
          <w:rFonts w:ascii="Times New Roman" w:hAnsi="Times New Roman" w:cs="Times New Roman"/>
          <w:b/>
          <w:bCs/>
          <w:noProof/>
          <w:sz w:val="24"/>
          <w:szCs w:val="24"/>
        </w:rPr>
        <w:t>8</w:t>
      </w:r>
      <w:r w:rsidRPr="00520B89">
        <w:rPr>
          <w:rFonts w:ascii="Times New Roman" w:hAnsi="Times New Roman" w:cs="Times New Roman"/>
          <w:b/>
          <w:bCs/>
          <w:sz w:val="24"/>
          <w:szCs w:val="24"/>
        </w:rPr>
        <w:fldChar w:fldCharType="end"/>
      </w:r>
      <w:r w:rsidRPr="00622114">
        <w:rPr>
          <w:rFonts w:ascii="Times New Roman" w:hAnsi="Times New Roman" w:cs="Times New Roman"/>
          <w:sz w:val="24"/>
          <w:szCs w:val="24"/>
        </w:rPr>
        <w:t xml:space="preserve"> – Relação entre a uniformidade da carta de aspersão e o CUC no ARM.</w:t>
      </w:r>
      <w:bookmarkEnd w:id="4"/>
      <w:r w:rsidRPr="00622114">
        <w:rPr>
          <w:rFonts w:ascii="Times New Roman" w:hAnsi="Times New Roman" w:cs="Times New Roman"/>
          <w:sz w:val="24"/>
          <w:szCs w:val="24"/>
        </w:rPr>
        <w:t xml:space="preserve"> A linha azul representa a regressão linear, enquanto a faixa azulada representa o intervalo de confiança da regressão (α = 0,05). </w:t>
      </w:r>
    </w:p>
    <w:p w14:paraId="0810956D" w14:textId="77777777" w:rsidR="00790498" w:rsidRPr="00622114" w:rsidRDefault="00790498" w:rsidP="00622114">
      <w:pPr>
        <w:spacing w:line="360" w:lineRule="auto"/>
        <w:ind w:firstLine="502"/>
        <w:jc w:val="both"/>
        <w:rPr>
          <w:rFonts w:ascii="Times New Roman" w:hAnsi="Times New Roman" w:cs="Times New Roman"/>
          <w:sz w:val="24"/>
          <w:szCs w:val="24"/>
        </w:rPr>
      </w:pPr>
    </w:p>
    <w:p w14:paraId="7F412C3E" w14:textId="77777777"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sz w:val="24"/>
          <w:szCs w:val="24"/>
        </w:rPr>
        <w:t xml:space="preserve">Os equipamentos avaliados neste estudo do ARM e ATP apresentam uniformidade de distribuição de água considerados bons ou excelentes </w:t>
      </w:r>
      <w:sdt>
        <w:sdtPr>
          <w:rPr>
            <w:rFonts w:ascii="Times New Roman" w:hAnsi="Times New Roman" w:cs="Times New Roman"/>
            <w:sz w:val="24"/>
            <w:szCs w:val="24"/>
          </w:rPr>
          <w:tag w:val="MENDELEY_CITATION_v3_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"/>
          <w:id w:val="894780950"/>
          <w:placeholder>
            <w:docPart w:val="F527390EAF89467E8D26A5C103F14657"/>
          </w:placeholder>
        </w:sdtPr>
        <w:sdtEndPr/>
        <w:sdtContent>
          <w:r w:rsidRPr="00622114">
            <w:rPr>
              <w:rFonts w:ascii="Times New Roman" w:hAnsi="Times New Roman" w:cs="Times New Roman"/>
              <w:sz w:val="24"/>
              <w:szCs w:val="24"/>
            </w:rPr>
            <w:t>(BERNARDO et al., 2019; KELLER; BLIESNER, 1990)</w:t>
          </w:r>
        </w:sdtContent>
      </w:sdt>
      <w:r w:rsidRPr="00622114">
        <w:rPr>
          <w:rFonts w:ascii="Times New Roman" w:hAnsi="Times New Roman" w:cs="Times New Roman"/>
          <w:sz w:val="24"/>
          <w:szCs w:val="24"/>
        </w:rPr>
        <w:t xml:space="preserve">. A adoção de emissores rotativos em todos os equipamentos confirma este resultado, dado que este tipo de emissor tende a ter uma melhor uniformidade de distribuição de água dado as características da gota produzida </w:t>
      </w:r>
      <w:sdt>
        <w:sdtPr>
          <w:rPr>
            <w:rFonts w:ascii="Times New Roman" w:hAnsi="Times New Roman" w:cs="Times New Roman"/>
            <w:sz w:val="24"/>
            <w:szCs w:val="24"/>
          </w:rPr>
          <w:tag w:val="MENDELEY_CITATION_v3_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"/>
          <w:id w:val="-487320746"/>
          <w:placeholder>
            <w:docPart w:val="F527390EAF89467E8D26A5C103F14657"/>
          </w:placeholder>
        </w:sdtPr>
        <w:sdtEndPr/>
        <w:sdtContent>
          <w:r w:rsidRPr="00622114">
            <w:rPr>
              <w:rFonts w:ascii="Times New Roman" w:hAnsi="Times New Roman" w:cs="Times New Roman"/>
              <w:sz w:val="24"/>
              <w:szCs w:val="24"/>
            </w:rPr>
            <w:t>(FACI et al., 2001)</w:t>
          </w:r>
        </w:sdtContent>
      </w:sdt>
      <w:r w:rsidRPr="00622114">
        <w:rPr>
          <w:rFonts w:ascii="Times New Roman" w:hAnsi="Times New Roman" w:cs="Times New Roman"/>
          <w:sz w:val="24"/>
          <w:szCs w:val="24"/>
        </w:rPr>
        <w:t xml:space="preserve">. Apesar da tendência de que equipamentos mais novos possuam valores mais altos de uniformidade, a insignificância da regressão demonstra que outros fatores podem ser mais significativos neste valor, como exemplo o estado de manutenção do equipamento. A redução significativa na lâmina de </w:t>
      </w:r>
      <w:r w:rsidRPr="00622114">
        <w:rPr>
          <w:rFonts w:ascii="Times New Roman" w:hAnsi="Times New Roman" w:cs="Times New Roman"/>
          <w:sz w:val="24"/>
          <w:szCs w:val="24"/>
        </w:rPr>
        <w:lastRenderedPageBreak/>
        <w:t xml:space="preserve">irrigação observada durante os testes pode impactar fortemente o manejo de irrigação, reduzindo sua eficiência. </w:t>
      </w:r>
    </w:p>
    <w:p w14:paraId="024B48D4" w14:textId="7EDD42CF" w:rsidR="00520B89"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sz w:val="24"/>
          <w:szCs w:val="24"/>
        </w:rPr>
        <w:t>Mesmo que a uniformidade constatada nos testes seja adequada, a avaliação dos equipamentos deve ser feita constantemente. A verificação contínua da uniformidade pode ser feita através da verificação da carta de aspersão, significativa para determinar o coeficiente de distribuição de água dos equipamentos. Esta prática pode ser adotada em combinação a operações básicas de manutenção dos equipamentos como desentupimento dos emissores e aferição das pressões.</w:t>
      </w:r>
    </w:p>
    <w:p w14:paraId="0959022D" w14:textId="77777777" w:rsidR="00520B89" w:rsidRDefault="00520B89">
      <w:pPr>
        <w:rPr>
          <w:rFonts w:ascii="Times New Roman" w:hAnsi="Times New Roman" w:cs="Times New Roman"/>
          <w:sz w:val="24"/>
          <w:szCs w:val="24"/>
        </w:rPr>
      </w:pPr>
      <w:r>
        <w:rPr>
          <w:rFonts w:ascii="Times New Roman" w:hAnsi="Times New Roman" w:cs="Times New Roman"/>
          <w:sz w:val="24"/>
          <w:szCs w:val="24"/>
        </w:rPr>
        <w:br w:type="page"/>
      </w:r>
    </w:p>
    <w:p w14:paraId="31FCD062" w14:textId="78C56E22" w:rsidR="00520B89" w:rsidRPr="00790498" w:rsidRDefault="00520B89" w:rsidP="00520B89">
      <w:pPr>
        <w:pStyle w:val="PargrafodaLista"/>
        <w:numPr>
          <w:ilvl w:val="1"/>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Adequação das Pressões</w:t>
      </w:r>
    </w:p>
    <w:p w14:paraId="7ED433CD" w14:textId="77777777"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sz w:val="24"/>
          <w:szCs w:val="24"/>
        </w:rPr>
        <w:t>A avaliação das pressões nos sistemas de irrigação do ATP foi realizada em três pontos críticos: na Ponta, na Torre e na Bomba do sistema. A análise estatística das pressões, utilizando o teste T, indicou que não há variações significativas entre os pontos de medição, com um p-valor entre 0,05 e 1, sugerindo uma distribuição uniforme dos problemas de pressurização ao longo do sistema quando existentes.</w:t>
      </w:r>
    </w:p>
    <w:p w14:paraId="2DD43962" w14:textId="77777777"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sz w:val="24"/>
          <w:szCs w:val="24"/>
        </w:rPr>
        <w:t>Especificamente, a pressão média na Ponta foi de 1,28 vezes a pressão esperada, com um desvio padrão significativo de 0,71, indicando variações substanciais que alcançaram um máximo de 4,01 vezes a pressão esperada. Na Torre, a pressão média foi de 1,12 vezes a esperada, com uma variação de 0,03 a 3,45 vezes a pressão esperada. Similarmente, a Bomba mostrou uma pressão média de 1,12 vezes a esperada, variando de 0,74 a 1,57 vezes, com um desvio padrão menor de 0,30.</w:t>
      </w:r>
    </w:p>
    <w:p w14:paraId="41AA2C75" w14:textId="77777777"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sz w:val="24"/>
          <w:szCs w:val="24"/>
        </w:rPr>
        <w:t xml:space="preserve">Os resultados do limite de adequação das pressões, estabelecidos em 90% da pressão recomendada, mostraram que 28.0% dos equipamentos na Ponta, 31.2% na Torre, e 30.0% na Bomba operaram abaixo deste limiar. Esses dados são visualizados na Figura 9, que apresenta a distribuição das pressões relativas e destaca a proporção de equipamentos que não atingiram a adequação nas respectivas categorias. </w:t>
      </w:r>
    </w:p>
    <w:p w14:paraId="387865C3" w14:textId="77777777"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noProof/>
          <w:sz w:val="24"/>
          <w:szCs w:val="24"/>
        </w:rPr>
        <w:lastRenderedPageBreak/>
        <w:drawing>
          <wp:inline distT="0" distB="0" distL="0" distR="0" wp14:anchorId="6198BC02" wp14:editId="3B7195EF">
            <wp:extent cx="5486411" cy="5486411"/>
            <wp:effectExtent l="0" t="0" r="0" b="0"/>
            <wp:docPr id="17553931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9314" name="Imagem 1755393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11" cy="5486411"/>
                    </a:xfrm>
                    <a:prstGeom prst="rect">
                      <a:avLst/>
                    </a:prstGeom>
                  </pic:spPr>
                </pic:pic>
              </a:graphicData>
            </a:graphic>
          </wp:inline>
        </w:drawing>
      </w:r>
    </w:p>
    <w:p w14:paraId="7DE4BAD5" w14:textId="1AC7B8E5" w:rsidR="00790498" w:rsidRPr="00622114" w:rsidRDefault="00790498" w:rsidP="00622114">
      <w:pPr>
        <w:spacing w:line="360" w:lineRule="auto"/>
        <w:ind w:firstLine="502"/>
        <w:jc w:val="both"/>
        <w:rPr>
          <w:rFonts w:ascii="Times New Roman" w:hAnsi="Times New Roman" w:cs="Times New Roman"/>
          <w:sz w:val="24"/>
          <w:szCs w:val="24"/>
        </w:rPr>
      </w:pPr>
      <w:r w:rsidRPr="00520B89">
        <w:rPr>
          <w:rFonts w:ascii="Times New Roman" w:hAnsi="Times New Roman" w:cs="Times New Roman"/>
          <w:b/>
          <w:bCs/>
          <w:sz w:val="24"/>
          <w:szCs w:val="24"/>
        </w:rPr>
        <w:t xml:space="preserve">Figura </w:t>
      </w:r>
      <w:r w:rsidRPr="00520B89">
        <w:rPr>
          <w:rFonts w:ascii="Times New Roman" w:hAnsi="Times New Roman" w:cs="Times New Roman"/>
          <w:b/>
          <w:bCs/>
          <w:sz w:val="24"/>
          <w:szCs w:val="24"/>
        </w:rPr>
        <w:fldChar w:fldCharType="begin"/>
      </w:r>
      <w:r w:rsidRPr="00520B89">
        <w:rPr>
          <w:rFonts w:ascii="Times New Roman" w:hAnsi="Times New Roman" w:cs="Times New Roman"/>
          <w:b/>
          <w:bCs/>
          <w:sz w:val="24"/>
          <w:szCs w:val="24"/>
        </w:rPr>
        <w:instrText xml:space="preserve"> SEQ Figure \* ARABIC </w:instrText>
      </w:r>
      <w:r w:rsidRPr="00520B89">
        <w:rPr>
          <w:rFonts w:ascii="Times New Roman" w:hAnsi="Times New Roman" w:cs="Times New Roman"/>
          <w:b/>
          <w:bCs/>
          <w:sz w:val="24"/>
          <w:szCs w:val="24"/>
        </w:rPr>
        <w:fldChar w:fldCharType="separate"/>
      </w:r>
      <w:r w:rsidR="009B2B78">
        <w:rPr>
          <w:rFonts w:ascii="Times New Roman" w:hAnsi="Times New Roman" w:cs="Times New Roman"/>
          <w:b/>
          <w:bCs/>
          <w:noProof/>
          <w:sz w:val="24"/>
          <w:szCs w:val="24"/>
        </w:rPr>
        <w:t>9</w:t>
      </w:r>
      <w:r w:rsidRPr="00520B89">
        <w:rPr>
          <w:rFonts w:ascii="Times New Roman" w:hAnsi="Times New Roman" w:cs="Times New Roman"/>
          <w:b/>
          <w:bCs/>
          <w:sz w:val="24"/>
          <w:szCs w:val="24"/>
        </w:rPr>
        <w:fldChar w:fldCharType="end"/>
      </w:r>
      <w:r w:rsidRPr="00622114">
        <w:rPr>
          <w:rFonts w:ascii="Times New Roman" w:hAnsi="Times New Roman" w:cs="Times New Roman"/>
          <w:sz w:val="24"/>
          <w:szCs w:val="24"/>
        </w:rPr>
        <w:t xml:space="preserve"> – Distribuição das pressões relativas observadas em relação à pressão esperada para cada componente do sistema (Bomba, Torre e Ponta) no ATP. Os limites de adequação de 90% estão marcados por linhas tracejadas vermelhas, indicando a proporção de equipamentos que não atingiram a adequação nas respectivas categorias. Barras sobre os grupos indicam o resultado do teste estatístico de médias (teste T) que não demonstrou diferenças significativas entre os grupos (0,05 &lt; p ≤ 1). </w:t>
      </w:r>
    </w:p>
    <w:p w14:paraId="4AE08B25" w14:textId="77777777" w:rsidR="00790498" w:rsidRPr="00622114" w:rsidRDefault="00790498" w:rsidP="00622114">
      <w:pPr>
        <w:spacing w:line="360" w:lineRule="auto"/>
        <w:ind w:firstLine="502"/>
        <w:jc w:val="both"/>
        <w:rPr>
          <w:rFonts w:ascii="Times New Roman" w:hAnsi="Times New Roman" w:cs="Times New Roman"/>
          <w:sz w:val="24"/>
          <w:szCs w:val="24"/>
        </w:rPr>
      </w:pPr>
    </w:p>
    <w:p w14:paraId="2346D765" w14:textId="77777777"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sz w:val="24"/>
          <w:szCs w:val="24"/>
        </w:rPr>
        <w:t>A ausência de diferenças estatísticas significativas entre os pontos de medição sugere que os problemas de pressurização são igualmente prováveis em qualquer parte do sistema, reforçando a necessidade de uma abordagem de manutenção abrangente e regular para prevenir falhas operacionais e garantir a eficiência do sistema de irrigação.</w:t>
      </w:r>
      <w:r w:rsidRPr="00622114">
        <w:rPr>
          <w:rFonts w:ascii="Times New Roman" w:hAnsi="Times New Roman" w:cs="Times New Roman"/>
          <w:sz w:val="24"/>
          <w:szCs w:val="24"/>
        </w:rPr>
        <w:br w:type="page"/>
      </w:r>
    </w:p>
    <w:p w14:paraId="6452F15D" w14:textId="62F0AFEA" w:rsidR="00520B89" w:rsidRPr="00790498" w:rsidRDefault="00520B89" w:rsidP="00520B89">
      <w:pPr>
        <w:pStyle w:val="PargrafodaLista"/>
        <w:numPr>
          <w:ilvl w:val="1"/>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Adequação da Movimentação</w:t>
      </w:r>
    </w:p>
    <w:p w14:paraId="016FCC37" w14:textId="77777777"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sz w:val="24"/>
          <w:szCs w:val="24"/>
        </w:rPr>
        <w:t>A análise da adequação da movimentação dos equipamentos de irrigação foi conduzida por meio de testes que mediram a precisão das velocidades percentuais aferidas em relação às velocidades esperadas. Os resultados demonstraram alta precisão na maioria das configurações, com destaque para as mais altas, onde a precisão foi quase perfeita. Especificamente, a 20% de configuração, 77,4% das medições foram precisas; a 40%, a precisão alcançou 95,2%; a 60%, 98,4%; e a 80%, a precisão foi de 100%.</w:t>
      </w:r>
    </w:p>
    <w:p w14:paraId="20CB05BA" w14:textId="77777777" w:rsidR="00520B89"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sz w:val="24"/>
          <w:szCs w:val="24"/>
        </w:rPr>
        <w:t>A Figura 10 ilustra visualmente esses resultados, mostrando uma clara concentração de medições dentro das especificações desejadas para as velocidades mais altas. As cruzes vermelhas representam medições fora da precisão desejada, enquanto os círculos verdes indicam medições dentro da especificação.</w:t>
      </w:r>
    </w:p>
    <w:p w14:paraId="6BFFD1E2" w14:textId="00B4526E" w:rsidR="00790498" w:rsidRPr="00622114" w:rsidRDefault="00790498" w:rsidP="00520B89">
      <w:pPr>
        <w:spacing w:line="360" w:lineRule="auto"/>
        <w:ind w:firstLine="502"/>
        <w:jc w:val="center"/>
        <w:rPr>
          <w:rFonts w:ascii="Times New Roman" w:hAnsi="Times New Roman" w:cs="Times New Roman"/>
          <w:sz w:val="24"/>
          <w:szCs w:val="24"/>
        </w:rPr>
      </w:pPr>
      <w:r w:rsidRPr="00622114">
        <w:rPr>
          <w:rFonts w:ascii="Times New Roman" w:hAnsi="Times New Roman" w:cs="Times New Roman"/>
          <w:noProof/>
          <w:sz w:val="24"/>
          <w:szCs w:val="24"/>
        </w:rPr>
        <w:drawing>
          <wp:inline distT="0" distB="0" distL="0" distR="0" wp14:anchorId="0F91B94F" wp14:editId="1B2781D6">
            <wp:extent cx="4371975" cy="4371975"/>
            <wp:effectExtent l="0" t="0" r="9525" b="9525"/>
            <wp:docPr id="88890814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08143" name="Imagem 88890814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71975" cy="4371975"/>
                    </a:xfrm>
                    <a:prstGeom prst="rect">
                      <a:avLst/>
                    </a:prstGeom>
                  </pic:spPr>
                </pic:pic>
              </a:graphicData>
            </a:graphic>
          </wp:inline>
        </w:drawing>
      </w:r>
    </w:p>
    <w:p w14:paraId="5023AD1B" w14:textId="450EE3CA" w:rsidR="00790498" w:rsidRPr="00622114" w:rsidRDefault="00790498" w:rsidP="00622114">
      <w:pPr>
        <w:spacing w:line="360" w:lineRule="auto"/>
        <w:ind w:firstLine="502"/>
        <w:jc w:val="both"/>
        <w:rPr>
          <w:rFonts w:ascii="Times New Roman" w:hAnsi="Times New Roman" w:cs="Times New Roman"/>
          <w:sz w:val="24"/>
          <w:szCs w:val="24"/>
        </w:rPr>
      </w:pPr>
      <w:r w:rsidRPr="00520B89">
        <w:rPr>
          <w:rFonts w:ascii="Times New Roman" w:hAnsi="Times New Roman" w:cs="Times New Roman"/>
          <w:b/>
          <w:bCs/>
          <w:sz w:val="24"/>
          <w:szCs w:val="24"/>
        </w:rPr>
        <w:t xml:space="preserve">Figura </w:t>
      </w:r>
      <w:r w:rsidRPr="00520B89">
        <w:rPr>
          <w:rFonts w:ascii="Times New Roman" w:hAnsi="Times New Roman" w:cs="Times New Roman"/>
          <w:b/>
          <w:bCs/>
          <w:sz w:val="24"/>
          <w:szCs w:val="24"/>
        </w:rPr>
        <w:fldChar w:fldCharType="begin"/>
      </w:r>
      <w:r w:rsidRPr="00520B89">
        <w:rPr>
          <w:rFonts w:ascii="Times New Roman" w:hAnsi="Times New Roman" w:cs="Times New Roman"/>
          <w:b/>
          <w:bCs/>
          <w:sz w:val="24"/>
          <w:szCs w:val="24"/>
        </w:rPr>
        <w:instrText xml:space="preserve"> SEQ Figure \* ARABIC </w:instrText>
      </w:r>
      <w:r w:rsidRPr="00520B89">
        <w:rPr>
          <w:rFonts w:ascii="Times New Roman" w:hAnsi="Times New Roman" w:cs="Times New Roman"/>
          <w:b/>
          <w:bCs/>
          <w:sz w:val="24"/>
          <w:szCs w:val="24"/>
        </w:rPr>
        <w:fldChar w:fldCharType="separate"/>
      </w:r>
      <w:r w:rsidR="009B2B78">
        <w:rPr>
          <w:rFonts w:ascii="Times New Roman" w:hAnsi="Times New Roman" w:cs="Times New Roman"/>
          <w:b/>
          <w:bCs/>
          <w:noProof/>
          <w:sz w:val="24"/>
          <w:szCs w:val="24"/>
        </w:rPr>
        <w:t>10</w:t>
      </w:r>
      <w:r w:rsidRPr="00520B89">
        <w:rPr>
          <w:rFonts w:ascii="Times New Roman" w:hAnsi="Times New Roman" w:cs="Times New Roman"/>
          <w:b/>
          <w:bCs/>
          <w:sz w:val="24"/>
          <w:szCs w:val="24"/>
        </w:rPr>
        <w:fldChar w:fldCharType="end"/>
      </w:r>
      <w:r w:rsidRPr="00622114">
        <w:rPr>
          <w:rFonts w:ascii="Times New Roman" w:hAnsi="Times New Roman" w:cs="Times New Roman"/>
          <w:sz w:val="24"/>
          <w:szCs w:val="24"/>
        </w:rPr>
        <w:t xml:space="preserve"> – Visualização da precisão da movimentação em diferentes configurações de velocidade, onde as cruzes vermelhas representam medições fora da precisão desejada e os círculos verdes indicam medições dentro da especificação, dado pelo círculo interno que representa o limite de desvio absoluto de 5%. </w:t>
      </w:r>
    </w:p>
    <w:p w14:paraId="4B61112E" w14:textId="77777777"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sz w:val="24"/>
          <w:szCs w:val="24"/>
        </w:rPr>
        <w:lastRenderedPageBreak/>
        <w:t>A importância da manutenção do sistema de movimentação é enfatizada, especialmente para as configurações de baixa velocidade, onde pequenas variações podem ter impactos significativos na distribuição uniforme da água. A manutenção regular e o ajuste fino dos equipamentos são essenciais para assegurar que mesmo as velocidades mais baixas sejam mantidas dentro de um limite de precisão aceitável, evitando assim a subirrigação ou a superirrigação e promovendo uma aplicação eficiente da água.</w:t>
      </w:r>
    </w:p>
    <w:p w14:paraId="65DCE268" w14:textId="77777777"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sz w:val="24"/>
          <w:szCs w:val="24"/>
        </w:rPr>
        <w:t>Os desvios nas configurações mais baixas podem ser devidos a variações no terreno ou condições mecânicas dos equipamentos, que impactam mais as velocidades reduzidas. Essas observações sugerem a necessidade de uma abordagem proativa na manutenção e calibração dos sistemas para garantir que a movimentação seja consistentemente precisa, independentemente da configuração de velocidade escolhida.</w:t>
      </w:r>
    </w:p>
    <w:p w14:paraId="65E6A1AC" w14:textId="14DB820C" w:rsidR="00520B89"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sz w:val="24"/>
          <w:szCs w:val="24"/>
        </w:rPr>
        <w:t>Esta análise reforça a eficácia dos mecanismos de controle e a adequação dos sistemas de movimentação em operações de campo, destacando a importância de práticas operacionais sólidas e manutenção cuidadosa para uma irrigação eficiente e sustentável.</w:t>
      </w:r>
    </w:p>
    <w:p w14:paraId="4418B830" w14:textId="77777777" w:rsidR="00520B89" w:rsidRDefault="00520B89">
      <w:pPr>
        <w:rPr>
          <w:rFonts w:ascii="Times New Roman" w:hAnsi="Times New Roman" w:cs="Times New Roman"/>
          <w:sz w:val="24"/>
          <w:szCs w:val="24"/>
        </w:rPr>
      </w:pPr>
      <w:r>
        <w:rPr>
          <w:rFonts w:ascii="Times New Roman" w:hAnsi="Times New Roman" w:cs="Times New Roman"/>
          <w:sz w:val="24"/>
          <w:szCs w:val="24"/>
        </w:rPr>
        <w:br w:type="page"/>
      </w:r>
    </w:p>
    <w:p w14:paraId="7E351DF0" w14:textId="4D69FF28" w:rsidR="00520B89" w:rsidRPr="00790498" w:rsidRDefault="00520B89" w:rsidP="00520B89">
      <w:pPr>
        <w:pStyle w:val="PargrafodaLista"/>
        <w:numPr>
          <w:ilvl w:val="1"/>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Coexistência de Problemas</w:t>
      </w:r>
    </w:p>
    <w:p w14:paraId="4DF7AFF4" w14:textId="0BD15455"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sz w:val="24"/>
          <w:szCs w:val="24"/>
        </w:rPr>
        <w:t>A análise da coexistência de problemas nos equipamentos de irrigação revela interações complexas e significativas entre uniformidade, pressurização e movimentação, conforme ilustrado na Figura 11. Este diagrama de Venn destaca não apenas a prevalência de problemas isolados, mas também a frequente sobreposição entre as categorias.</w:t>
      </w:r>
    </w:p>
    <w:p w14:paraId="3226062C" w14:textId="77777777"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noProof/>
          <w:sz w:val="24"/>
          <w:szCs w:val="24"/>
        </w:rPr>
        <w:drawing>
          <wp:inline distT="0" distB="0" distL="0" distR="0" wp14:anchorId="6F1CA023" wp14:editId="3838443E">
            <wp:extent cx="5486411" cy="3657607"/>
            <wp:effectExtent l="0" t="0" r="0" b="0"/>
            <wp:docPr id="113201433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14334" name="Imagem 113201433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11" cy="3657607"/>
                    </a:xfrm>
                    <a:prstGeom prst="rect">
                      <a:avLst/>
                    </a:prstGeom>
                  </pic:spPr>
                </pic:pic>
              </a:graphicData>
            </a:graphic>
          </wp:inline>
        </w:drawing>
      </w:r>
    </w:p>
    <w:p w14:paraId="77C79A5A" w14:textId="22827A0E" w:rsidR="00790498" w:rsidRPr="00622114" w:rsidRDefault="00790498" w:rsidP="00622114">
      <w:pPr>
        <w:spacing w:line="360" w:lineRule="auto"/>
        <w:ind w:firstLine="502"/>
        <w:jc w:val="both"/>
        <w:rPr>
          <w:rFonts w:ascii="Times New Roman" w:hAnsi="Times New Roman" w:cs="Times New Roman"/>
          <w:sz w:val="24"/>
          <w:szCs w:val="24"/>
        </w:rPr>
      </w:pPr>
      <w:r w:rsidRPr="00520B89">
        <w:rPr>
          <w:rFonts w:ascii="Times New Roman" w:hAnsi="Times New Roman" w:cs="Times New Roman"/>
          <w:b/>
          <w:bCs/>
          <w:sz w:val="24"/>
          <w:szCs w:val="24"/>
        </w:rPr>
        <w:t xml:space="preserve">Figura </w:t>
      </w:r>
      <w:r w:rsidRPr="00520B89">
        <w:rPr>
          <w:rFonts w:ascii="Times New Roman" w:hAnsi="Times New Roman" w:cs="Times New Roman"/>
          <w:b/>
          <w:bCs/>
          <w:sz w:val="24"/>
          <w:szCs w:val="24"/>
        </w:rPr>
        <w:fldChar w:fldCharType="begin"/>
      </w:r>
      <w:r w:rsidRPr="00520B89">
        <w:rPr>
          <w:rFonts w:ascii="Times New Roman" w:hAnsi="Times New Roman" w:cs="Times New Roman"/>
          <w:b/>
          <w:bCs/>
          <w:sz w:val="24"/>
          <w:szCs w:val="24"/>
        </w:rPr>
        <w:instrText xml:space="preserve"> SEQ Figure \* ARABIC </w:instrText>
      </w:r>
      <w:r w:rsidRPr="00520B89">
        <w:rPr>
          <w:rFonts w:ascii="Times New Roman" w:hAnsi="Times New Roman" w:cs="Times New Roman"/>
          <w:b/>
          <w:bCs/>
          <w:sz w:val="24"/>
          <w:szCs w:val="24"/>
        </w:rPr>
        <w:fldChar w:fldCharType="separate"/>
      </w:r>
      <w:r w:rsidR="009B2B78">
        <w:rPr>
          <w:rFonts w:ascii="Times New Roman" w:hAnsi="Times New Roman" w:cs="Times New Roman"/>
          <w:b/>
          <w:bCs/>
          <w:noProof/>
          <w:sz w:val="24"/>
          <w:szCs w:val="24"/>
        </w:rPr>
        <w:t>11</w:t>
      </w:r>
      <w:r w:rsidRPr="00520B89">
        <w:rPr>
          <w:rFonts w:ascii="Times New Roman" w:hAnsi="Times New Roman" w:cs="Times New Roman"/>
          <w:b/>
          <w:bCs/>
          <w:sz w:val="24"/>
          <w:szCs w:val="24"/>
        </w:rPr>
        <w:fldChar w:fldCharType="end"/>
      </w:r>
      <w:r w:rsidRPr="00622114">
        <w:rPr>
          <w:rFonts w:ascii="Times New Roman" w:hAnsi="Times New Roman" w:cs="Times New Roman"/>
          <w:sz w:val="24"/>
          <w:szCs w:val="24"/>
        </w:rPr>
        <w:t xml:space="preserve"> – Diagrama de Venn mostrando a distribuição e sobreposição dos problemas observados em uniformidade, pressurização e movimentação nos equipamentos avaliados. Cada círculo representa uma categoria de problema, e os números indicam a quantidade de equipamentos afetados por problemas isolados ou combinados. </w:t>
      </w:r>
    </w:p>
    <w:p w14:paraId="3F795CC4" w14:textId="77777777" w:rsidR="00790498" w:rsidRPr="00622114" w:rsidRDefault="00790498" w:rsidP="00622114">
      <w:pPr>
        <w:spacing w:line="360" w:lineRule="auto"/>
        <w:ind w:firstLine="502"/>
        <w:jc w:val="both"/>
        <w:rPr>
          <w:rFonts w:ascii="Times New Roman" w:hAnsi="Times New Roman" w:cs="Times New Roman"/>
          <w:sz w:val="24"/>
          <w:szCs w:val="24"/>
        </w:rPr>
      </w:pPr>
    </w:p>
    <w:p w14:paraId="2DE89E9A" w14:textId="77777777"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sz w:val="24"/>
          <w:szCs w:val="24"/>
        </w:rPr>
        <w:t>Dos 94 equipamentos avaliados que apresentaram problemas: 8 equipamentos mostraram falhas exclusivamente na uniformidade de distribuição de água; 6 enfrentaram problemas apenas na pressurização; e 2 tiveram dificuldades restritas à movimentação; 4 equipamentos apresentaram problemas que afetaram tanto a uniformidade quanto a pressurização; 1 equipamento exibiu problemas simultâneos em uniformidade e movimentação; 2 equipamentos apresentaram falhas em pressurização e movimentação; e 7 equipamentos sofreram com problemas em todas as três áreas.</w:t>
      </w:r>
    </w:p>
    <w:p w14:paraId="501933CA" w14:textId="77777777"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sz w:val="24"/>
          <w:szCs w:val="24"/>
        </w:rPr>
        <w:lastRenderedPageBreak/>
        <w:t>Essas interações indicam que os problemas geralmente não ocorrem isoladamente e podem se influenciar mutuamente, complicando as estratégias de manutenção e otimização. A coexistência de múltiplos problemas em um único equipamento frequentemente sugere uma necessidade de revisão abrangente do sistema. Tais revisões devem envolver não apenas ajustes no equipamento em si, mas também uma recalibração detalhada das configurações operacionais para garantir a eficácia do sistema.</w:t>
      </w:r>
    </w:p>
    <w:p w14:paraId="71E4AEE9" w14:textId="3079B889" w:rsidR="00520B89"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sz w:val="24"/>
          <w:szCs w:val="24"/>
        </w:rPr>
        <w:t>Identificar onde esses problemas coexistem é crucial para o desenvolvimento de intervenções eficazes, que não apenas resolvem problemas imediatos, mas também minimizam impactos sobre a eficiência geral do sistema e sustentam o uso dos recursos hídricos. Abordagens integradas de diagnóstico e manutenção, que considerem todas as variáveis críticas, são essenciais para prevenir a recorrência de falhas e para garantir uma operação otimizada e sustentável dos sistemas de irrigação.</w:t>
      </w:r>
    </w:p>
    <w:p w14:paraId="48A91E69" w14:textId="77777777" w:rsidR="00520B89" w:rsidRDefault="00520B89">
      <w:pPr>
        <w:rPr>
          <w:rFonts w:ascii="Times New Roman" w:hAnsi="Times New Roman" w:cs="Times New Roman"/>
          <w:sz w:val="24"/>
          <w:szCs w:val="24"/>
        </w:rPr>
      </w:pPr>
      <w:r>
        <w:rPr>
          <w:rFonts w:ascii="Times New Roman" w:hAnsi="Times New Roman" w:cs="Times New Roman"/>
          <w:sz w:val="24"/>
          <w:szCs w:val="24"/>
        </w:rPr>
        <w:br w:type="page"/>
      </w:r>
    </w:p>
    <w:p w14:paraId="6B84F166" w14:textId="15302C34" w:rsidR="00790498" w:rsidRDefault="00790498" w:rsidP="00622114">
      <w:pPr>
        <w:pStyle w:val="PargrafodaLista"/>
        <w:numPr>
          <w:ilvl w:val="0"/>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Conclusão</w:t>
      </w:r>
    </w:p>
    <w:p w14:paraId="4E6124D6" w14:textId="77777777"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sz w:val="24"/>
          <w:szCs w:val="24"/>
        </w:rPr>
        <w:t>Este estudo realizado nos Polos de Irrigação do ARM e ATP proporcionou informações valiosas sobre a eficácia e os desafios operacionais dos sistemas de irrigação por pivô central. Através de uma abordagem meticulosa em diversas análises, abrangendo a área de estudo, uniformidade de distribuição de água, pressurização, movimentação e a coexistência de problemas, foi possível obter uma compreensão abrangente das dinâmicas e eficiências desses sistemas de produção.</w:t>
      </w:r>
    </w:p>
    <w:p w14:paraId="7FCEF5E9" w14:textId="77777777" w:rsidR="00790498" w:rsidRPr="00622114"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sz w:val="24"/>
          <w:szCs w:val="24"/>
        </w:rPr>
        <w:t>Considerando os equipamentos avaliados em cada uma das regiões, os seguintes pontos principais foram observados: (1) No geral, os equipamentos de irrigação das duas regiões possuem uma adequada uniformidade de distribuição de água, porém problemas como a redução significativa da lâmina de água aplicada em relação à esperada, e problemas de movimentação dos equipamentos podem afetar significativamente a eficiência da irrigação das regiões; (2) Dado a não observação de relação entre a idade dos equipamentos avaliados com sua eficiência, nota-se que a adoção de estratégias de manutenção preventiva e corretiva pelos agricultores é o principal fator de melhoria da eficiência de irrigação; (3) Não foram encontradas diferenças significativas nas pressões medidas em diferentes pontos do sistema, indicando a possibilidade de problemas de pressurização uniformes ao longo dos sistemas; (4) Os testes de movimentação destacaram uma alta precisão nas velocidades altas, com variabilidade maior em velocidades baixas, enfatizando novamente a necessidade de manutenção rigorosa para garantir a distribuição uniforme da água, especialmente quando aplicadas lâminas de irrigação mais altas; (5) Além disso, os resultados mostraram uma sobreposição frequente de problemas nos equipamentos, sugerindo que as falhas são interdependentes e complexas, reforçando a importância de uma abordagem integrada na manutenção e diagnóstico dos sistemas de irrigação.</w:t>
      </w:r>
    </w:p>
    <w:p w14:paraId="41BCF97C" w14:textId="06A1528B" w:rsidR="00520B89" w:rsidRDefault="00790498" w:rsidP="00622114">
      <w:pPr>
        <w:spacing w:line="360" w:lineRule="auto"/>
        <w:ind w:firstLine="502"/>
        <w:jc w:val="both"/>
        <w:rPr>
          <w:rFonts w:ascii="Times New Roman" w:hAnsi="Times New Roman" w:cs="Times New Roman"/>
          <w:sz w:val="24"/>
          <w:szCs w:val="24"/>
        </w:rPr>
      </w:pPr>
      <w:r w:rsidRPr="00622114">
        <w:rPr>
          <w:rFonts w:ascii="Times New Roman" w:hAnsi="Times New Roman" w:cs="Times New Roman"/>
          <w:sz w:val="24"/>
          <w:szCs w:val="24"/>
        </w:rPr>
        <w:t xml:space="preserve">Em suma, este estudo enfatiza a importância de uma gestão e manutenção eficaz dos sistemas de irrigação por pivô central. Através de uma manutenção proativa e ajustes baseados em dados precisos, é possível melhorar significativamente a eficiência da irrigação, minimizar o desperdício de água e garantir a sustentabilidade das práticas agrícolas nos Polos de Irrigação. </w:t>
      </w:r>
    </w:p>
    <w:p w14:paraId="75E844A2" w14:textId="77777777" w:rsidR="00520B89" w:rsidRDefault="00520B89">
      <w:pPr>
        <w:rPr>
          <w:rFonts w:ascii="Times New Roman" w:hAnsi="Times New Roman" w:cs="Times New Roman"/>
          <w:sz w:val="24"/>
          <w:szCs w:val="24"/>
        </w:rPr>
      </w:pPr>
      <w:r>
        <w:rPr>
          <w:rFonts w:ascii="Times New Roman" w:hAnsi="Times New Roman" w:cs="Times New Roman"/>
          <w:sz w:val="24"/>
          <w:szCs w:val="24"/>
        </w:rPr>
        <w:br w:type="page"/>
      </w:r>
    </w:p>
    <w:p w14:paraId="29336CDB" w14:textId="491E5FAD" w:rsidR="00C4654D" w:rsidRDefault="00C4654D" w:rsidP="00622114">
      <w:pPr>
        <w:pStyle w:val="PargrafodaLista"/>
        <w:numPr>
          <w:ilvl w:val="0"/>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Referências bibliográficas</w:t>
      </w:r>
    </w:p>
    <w:p w14:paraId="3965C828" w14:textId="77777777" w:rsidR="00622114" w:rsidRDefault="00622114" w:rsidP="00622114">
      <w:pPr>
        <w:pStyle w:val="NormalWeb"/>
      </w:pPr>
      <w:r>
        <w:t xml:space="preserve">Abrahão, G. M., &amp; Costa, M. H. (2018). </w:t>
      </w:r>
      <w:r w:rsidRPr="00622114">
        <w:rPr>
          <w:lang w:val="en-US"/>
        </w:rPr>
        <w:t xml:space="preserve">Evolution of rain and photoperiod limitations on the soybean growing season in Brazil: The rise (and possible fall) of double-cropping systems. </w:t>
      </w:r>
      <w:proofErr w:type="spellStart"/>
      <w:r>
        <w:rPr>
          <w:rStyle w:val="nfase"/>
          <w:rFonts w:eastAsiaTheme="majorEastAsia"/>
        </w:rPr>
        <w:t>Agricultural</w:t>
      </w:r>
      <w:proofErr w:type="spellEnd"/>
      <w:r>
        <w:rPr>
          <w:rStyle w:val="nfase"/>
          <w:rFonts w:eastAsiaTheme="majorEastAsia"/>
        </w:rPr>
        <w:t xml:space="preserve"> </w:t>
      </w:r>
      <w:proofErr w:type="spellStart"/>
      <w:r>
        <w:rPr>
          <w:rStyle w:val="nfase"/>
          <w:rFonts w:eastAsiaTheme="majorEastAsia"/>
        </w:rPr>
        <w:t>and</w:t>
      </w:r>
      <w:proofErr w:type="spellEnd"/>
      <w:r>
        <w:rPr>
          <w:rStyle w:val="nfase"/>
          <w:rFonts w:eastAsiaTheme="majorEastAsia"/>
        </w:rPr>
        <w:t xml:space="preserve"> Forest </w:t>
      </w:r>
      <w:proofErr w:type="spellStart"/>
      <w:r>
        <w:rPr>
          <w:rStyle w:val="nfase"/>
          <w:rFonts w:eastAsiaTheme="majorEastAsia"/>
        </w:rPr>
        <w:t>Meteorology</w:t>
      </w:r>
      <w:proofErr w:type="spellEnd"/>
      <w:r>
        <w:rPr>
          <w:rStyle w:val="nfase"/>
          <w:rFonts w:eastAsiaTheme="majorEastAsia"/>
        </w:rPr>
        <w:t>, 256–257</w:t>
      </w:r>
      <w:r>
        <w:t xml:space="preserve">, 32–45. Disponível em: </w:t>
      </w:r>
      <w:hyperlink r:id="rId16" w:tgtFrame="_new" w:history="1">
        <w:r>
          <w:rPr>
            <w:rStyle w:val="Hyperlink"/>
            <w:rFonts w:eastAsiaTheme="majorEastAsia"/>
          </w:rPr>
          <w:t>https://www.sciencedirect.com/science/article/pii/S0168192318300013</w:t>
        </w:r>
      </w:hyperlink>
      <w:r>
        <w:t>. Acesso em: 28 jun. 2020.</w:t>
      </w:r>
    </w:p>
    <w:p w14:paraId="10BC6E2A" w14:textId="77777777" w:rsidR="00622114" w:rsidRDefault="00622114" w:rsidP="00622114">
      <w:pPr>
        <w:pStyle w:val="NormalWeb"/>
      </w:pPr>
      <w:r w:rsidRPr="00622114">
        <w:rPr>
          <w:lang w:val="en-US"/>
        </w:rPr>
        <w:t xml:space="preserve">Alvares, C. A., Stape, J. L., </w:t>
      </w:r>
      <w:proofErr w:type="spellStart"/>
      <w:r w:rsidRPr="00622114">
        <w:rPr>
          <w:lang w:val="en-US"/>
        </w:rPr>
        <w:t>Sentelhas</w:t>
      </w:r>
      <w:proofErr w:type="spellEnd"/>
      <w:r w:rsidRPr="00622114">
        <w:rPr>
          <w:lang w:val="en-US"/>
        </w:rPr>
        <w:t xml:space="preserve">, P. C., Gonçalves, J. L. M., &amp; </w:t>
      </w:r>
      <w:proofErr w:type="spellStart"/>
      <w:r w:rsidRPr="00622114">
        <w:rPr>
          <w:lang w:val="en-US"/>
        </w:rPr>
        <w:t>Sparovek</w:t>
      </w:r>
      <w:proofErr w:type="spellEnd"/>
      <w:r w:rsidRPr="00622114">
        <w:rPr>
          <w:lang w:val="en-US"/>
        </w:rPr>
        <w:t xml:space="preserve">, G. (2013). </w:t>
      </w:r>
      <w:proofErr w:type="spellStart"/>
      <w:r w:rsidRPr="00622114">
        <w:rPr>
          <w:lang w:val="en-US"/>
        </w:rPr>
        <w:t>Köppen’s</w:t>
      </w:r>
      <w:proofErr w:type="spellEnd"/>
      <w:r w:rsidRPr="00622114">
        <w:rPr>
          <w:lang w:val="en-US"/>
        </w:rPr>
        <w:t xml:space="preserve"> climate classification map for Brazil. </w:t>
      </w:r>
      <w:proofErr w:type="spellStart"/>
      <w:r>
        <w:rPr>
          <w:rStyle w:val="nfase"/>
          <w:rFonts w:eastAsiaTheme="majorEastAsia"/>
        </w:rPr>
        <w:t>Meteorologische</w:t>
      </w:r>
      <w:proofErr w:type="spellEnd"/>
      <w:r>
        <w:rPr>
          <w:rStyle w:val="nfase"/>
          <w:rFonts w:eastAsiaTheme="majorEastAsia"/>
        </w:rPr>
        <w:t xml:space="preserve"> </w:t>
      </w:r>
      <w:proofErr w:type="spellStart"/>
      <w:r>
        <w:rPr>
          <w:rStyle w:val="nfase"/>
          <w:rFonts w:eastAsiaTheme="majorEastAsia"/>
        </w:rPr>
        <w:t>Zeitschrift</w:t>
      </w:r>
      <w:proofErr w:type="spellEnd"/>
      <w:r>
        <w:rPr>
          <w:rStyle w:val="nfase"/>
          <w:rFonts w:eastAsiaTheme="majorEastAsia"/>
        </w:rPr>
        <w:t>, 22</w:t>
      </w:r>
      <w:r>
        <w:t>(6), 711–728.</w:t>
      </w:r>
    </w:p>
    <w:p w14:paraId="27DB0D9D" w14:textId="77777777" w:rsidR="00622114" w:rsidRDefault="00622114" w:rsidP="00622114">
      <w:pPr>
        <w:pStyle w:val="NormalWeb"/>
      </w:pPr>
      <w:r>
        <w:t xml:space="preserve">ANA. (2021). Atlas Irrigação: uso da água na agricultura irrigada. Brasília, DF: ANA. Disponível em: </w:t>
      </w:r>
      <w:hyperlink r:id="rId17" w:tgtFrame="_new" w:history="1">
        <w:r>
          <w:rPr>
            <w:rStyle w:val="Hyperlink"/>
            <w:rFonts w:eastAsiaTheme="majorEastAsia"/>
          </w:rPr>
          <w:t>http://atlasirrigacao.ana.gov.br/</w:t>
        </w:r>
      </w:hyperlink>
      <w:r>
        <w:t>. Acesso em: 29 abr. 2020.</w:t>
      </w:r>
    </w:p>
    <w:p w14:paraId="19A5F709" w14:textId="77777777" w:rsidR="00622114" w:rsidRDefault="00622114" w:rsidP="00622114">
      <w:pPr>
        <w:pStyle w:val="NormalWeb"/>
      </w:pPr>
      <w:r>
        <w:t>ANA. (2023). Levantamento da Agricultura Irrigada por Pivôs Centrais no Brasil - 1985-2022. [</w:t>
      </w:r>
      <w:proofErr w:type="spellStart"/>
      <w:r>
        <w:t>S.l</w:t>
      </w:r>
      <w:proofErr w:type="spellEnd"/>
      <w:r>
        <w:t xml:space="preserve">: s.n.]. Disponível em: </w:t>
      </w:r>
      <w:hyperlink r:id="rId18" w:tgtFrame="_new" w:history="1">
        <w:r>
          <w:rPr>
            <w:rStyle w:val="Hyperlink"/>
            <w:rFonts w:eastAsiaTheme="majorEastAsia"/>
          </w:rPr>
          <w:t>https://snirh.gov.br/</w:t>
        </w:r>
      </w:hyperlink>
      <w:r>
        <w:t>.</w:t>
      </w:r>
    </w:p>
    <w:p w14:paraId="0F02D430" w14:textId="77777777" w:rsidR="00622114" w:rsidRPr="00622114" w:rsidRDefault="00622114" w:rsidP="00622114">
      <w:pPr>
        <w:pStyle w:val="NormalWeb"/>
        <w:rPr>
          <w:lang w:val="en-US"/>
        </w:rPr>
      </w:pPr>
      <w:r>
        <w:t xml:space="preserve">Bernardo, S., Silva, A. J., &amp; Lima, M. C. (2019). </w:t>
      </w:r>
      <w:r>
        <w:rPr>
          <w:rStyle w:val="nfase"/>
          <w:rFonts w:eastAsiaTheme="majorEastAsia"/>
        </w:rPr>
        <w:t>Manual de Irrigação</w:t>
      </w:r>
      <w:r>
        <w:t xml:space="preserve"> (9. ed.). Viçosa, MG: UFV. </w:t>
      </w:r>
      <w:proofErr w:type="spellStart"/>
      <w:r w:rsidRPr="00622114">
        <w:rPr>
          <w:lang w:val="en-US"/>
        </w:rPr>
        <w:t>Acesso</w:t>
      </w:r>
      <w:proofErr w:type="spellEnd"/>
      <w:r w:rsidRPr="00622114">
        <w:rPr>
          <w:lang w:val="en-US"/>
        </w:rPr>
        <w:t xml:space="preserve"> </w:t>
      </w:r>
      <w:proofErr w:type="spellStart"/>
      <w:r w:rsidRPr="00622114">
        <w:rPr>
          <w:lang w:val="en-US"/>
        </w:rPr>
        <w:t>em</w:t>
      </w:r>
      <w:proofErr w:type="spellEnd"/>
      <w:r w:rsidRPr="00622114">
        <w:rPr>
          <w:lang w:val="en-US"/>
        </w:rPr>
        <w:t>: 29 abr. 2020.</w:t>
      </w:r>
    </w:p>
    <w:p w14:paraId="7A92E696" w14:textId="77777777" w:rsidR="00622114" w:rsidRPr="00622114" w:rsidRDefault="00622114" w:rsidP="00622114">
      <w:pPr>
        <w:pStyle w:val="NormalWeb"/>
        <w:rPr>
          <w:lang w:val="en-US"/>
        </w:rPr>
      </w:pPr>
      <w:r w:rsidRPr="00622114">
        <w:rPr>
          <w:lang w:val="en-US"/>
        </w:rPr>
        <w:t xml:space="preserve">Christiansen, J. E. (1942). </w:t>
      </w:r>
      <w:r w:rsidRPr="00622114">
        <w:rPr>
          <w:rStyle w:val="nfase"/>
          <w:rFonts w:eastAsiaTheme="majorEastAsia"/>
          <w:lang w:val="en-US"/>
        </w:rPr>
        <w:t>Irrigation By Sprinkling</w:t>
      </w:r>
      <w:r w:rsidRPr="00622114">
        <w:rPr>
          <w:lang w:val="en-US"/>
        </w:rPr>
        <w:t>. California Agricultural Experiment Station Bulletin, 670.</w:t>
      </w:r>
    </w:p>
    <w:p w14:paraId="70A50EB0" w14:textId="77777777" w:rsidR="00622114" w:rsidRDefault="00622114" w:rsidP="00622114">
      <w:pPr>
        <w:pStyle w:val="NormalWeb"/>
      </w:pPr>
      <w:r>
        <w:t xml:space="preserve">Embrapa. (2021). Lavouras são apenas 7,6% do Brasil, segundo a NASA - Portal Embrapa. Disponível em: </w:t>
      </w:r>
      <w:hyperlink r:id="rId19" w:tgtFrame="_new" w:history="1">
        <w:r>
          <w:rPr>
            <w:rStyle w:val="Hyperlink"/>
            <w:rFonts w:eastAsiaTheme="majorEastAsia"/>
          </w:rPr>
          <w:t>https://www.embrapa.br/busca-de-noticias/-/noticia/30972444/lavouras-sao-apenas-76-do-brasil-segundo-a-nasa</w:t>
        </w:r>
      </w:hyperlink>
      <w:r>
        <w:t>. Acesso em: 22 nov. 2021.</w:t>
      </w:r>
    </w:p>
    <w:p w14:paraId="07315C12" w14:textId="77777777" w:rsidR="00622114" w:rsidRPr="008D34CA" w:rsidRDefault="00622114" w:rsidP="00622114">
      <w:pPr>
        <w:pStyle w:val="NormalWeb"/>
        <w:rPr>
          <w:lang w:val="en-US"/>
        </w:rPr>
      </w:pPr>
      <w:proofErr w:type="spellStart"/>
      <w:r>
        <w:t>Faci</w:t>
      </w:r>
      <w:proofErr w:type="spellEnd"/>
      <w:r>
        <w:t xml:space="preserve">, J. M., Hernández, J., &amp; Busto, M. (2001). </w:t>
      </w:r>
      <w:r w:rsidRPr="00622114">
        <w:rPr>
          <w:lang w:val="en-US"/>
        </w:rPr>
        <w:t xml:space="preserve">Comparison of Fixed and Rotating Spray Plate Sprinklers. </w:t>
      </w:r>
      <w:r w:rsidRPr="008D34CA">
        <w:rPr>
          <w:rStyle w:val="nfase"/>
          <w:rFonts w:eastAsiaTheme="majorEastAsia"/>
          <w:lang w:val="en-US"/>
        </w:rPr>
        <w:t>Journal of Irrigation and Drainage Engineering, 127</w:t>
      </w:r>
      <w:r w:rsidRPr="008D34CA">
        <w:rPr>
          <w:lang w:val="en-US"/>
        </w:rPr>
        <w:t>(4), 224–233.</w:t>
      </w:r>
    </w:p>
    <w:p w14:paraId="0BA5C1D5" w14:textId="77777777" w:rsidR="00622114" w:rsidRPr="008D34CA" w:rsidRDefault="00622114" w:rsidP="00622114">
      <w:pPr>
        <w:pStyle w:val="NormalWeb"/>
        <w:rPr>
          <w:lang w:val="en-US"/>
        </w:rPr>
      </w:pPr>
      <w:r w:rsidRPr="00622114">
        <w:rPr>
          <w:lang w:val="en-US"/>
        </w:rPr>
        <w:t xml:space="preserve">FAO. (2020). </w:t>
      </w:r>
      <w:r w:rsidRPr="00622114">
        <w:rPr>
          <w:rStyle w:val="nfase"/>
          <w:rFonts w:eastAsiaTheme="majorEastAsia"/>
          <w:lang w:val="en-US"/>
        </w:rPr>
        <w:t>The State of Food and Agriculture 2020: Overcoming water challenges in Agriculture</w:t>
      </w:r>
      <w:r w:rsidRPr="00622114">
        <w:rPr>
          <w:lang w:val="en-US"/>
        </w:rPr>
        <w:t xml:space="preserve">. </w:t>
      </w:r>
      <w:r w:rsidRPr="008D34CA">
        <w:rPr>
          <w:lang w:val="en-US"/>
        </w:rPr>
        <w:t>[</w:t>
      </w:r>
      <w:proofErr w:type="spellStart"/>
      <w:r w:rsidRPr="008D34CA">
        <w:rPr>
          <w:lang w:val="en-US"/>
        </w:rPr>
        <w:t>S.l</w:t>
      </w:r>
      <w:proofErr w:type="spellEnd"/>
      <w:r w:rsidRPr="008D34CA">
        <w:rPr>
          <w:lang w:val="en-US"/>
        </w:rPr>
        <w:t xml:space="preserve">: </w:t>
      </w:r>
      <w:proofErr w:type="spellStart"/>
      <w:r w:rsidRPr="008D34CA">
        <w:rPr>
          <w:lang w:val="en-US"/>
        </w:rPr>
        <w:t>s.n</w:t>
      </w:r>
      <w:proofErr w:type="spellEnd"/>
      <w:r w:rsidRPr="008D34CA">
        <w:rPr>
          <w:lang w:val="en-US"/>
        </w:rPr>
        <w:t>.].</w:t>
      </w:r>
    </w:p>
    <w:p w14:paraId="7109D10F" w14:textId="77777777" w:rsidR="00622114" w:rsidRPr="00622114" w:rsidRDefault="00622114" w:rsidP="00622114">
      <w:pPr>
        <w:pStyle w:val="NormalWeb"/>
        <w:rPr>
          <w:lang w:val="en-US"/>
        </w:rPr>
      </w:pPr>
      <w:r w:rsidRPr="00622114">
        <w:rPr>
          <w:lang w:val="en-US"/>
        </w:rPr>
        <w:t xml:space="preserve">FAO, IFAD, UNICEF, WFP, &amp; WHO. (2022). </w:t>
      </w:r>
      <w:r w:rsidRPr="00622114">
        <w:rPr>
          <w:rStyle w:val="nfase"/>
          <w:rFonts w:eastAsiaTheme="majorEastAsia"/>
          <w:lang w:val="en-US"/>
        </w:rPr>
        <w:t>The state of food security and nutrition in the world (SOFI): Repurposing food and agricultural policies to make healthy diets more affordable</w:t>
      </w:r>
      <w:r w:rsidRPr="00622114">
        <w:rPr>
          <w:lang w:val="en-US"/>
        </w:rPr>
        <w:t>.</w:t>
      </w:r>
    </w:p>
    <w:p w14:paraId="20A60DA2" w14:textId="77777777" w:rsidR="00622114" w:rsidRPr="00622114" w:rsidRDefault="00622114" w:rsidP="00622114">
      <w:pPr>
        <w:pStyle w:val="NormalWeb"/>
        <w:rPr>
          <w:lang w:val="en-US"/>
        </w:rPr>
      </w:pPr>
      <w:r w:rsidRPr="00622114">
        <w:rPr>
          <w:lang w:val="en-US"/>
        </w:rPr>
        <w:t xml:space="preserve">Hamidov, A., &amp; Helming, K. (2020). Sustainability considerations in water-energy-food nexus research in irrigated agriculture. </w:t>
      </w:r>
      <w:r w:rsidRPr="00622114">
        <w:rPr>
          <w:rStyle w:val="nfase"/>
          <w:rFonts w:eastAsiaTheme="majorEastAsia"/>
          <w:lang w:val="en-US"/>
        </w:rPr>
        <w:t>Sustainability (Switzerland), 12</w:t>
      </w:r>
      <w:r w:rsidRPr="00622114">
        <w:rPr>
          <w:lang w:val="en-US"/>
        </w:rPr>
        <w:t>(15).</w:t>
      </w:r>
    </w:p>
    <w:p w14:paraId="1D65C9F5" w14:textId="77777777" w:rsidR="00622114" w:rsidRDefault="00622114" w:rsidP="00622114">
      <w:pPr>
        <w:pStyle w:val="NormalWeb"/>
      </w:pPr>
      <w:r w:rsidRPr="00622114">
        <w:rPr>
          <w:lang w:val="en-US"/>
        </w:rPr>
        <w:t xml:space="preserve">Heermann, D. F., &amp; Hein, P. R. (1968). Performance Characteristics of </w:t>
      </w:r>
      <w:proofErr w:type="gramStart"/>
      <w:r w:rsidRPr="00622114">
        <w:rPr>
          <w:lang w:val="en-US"/>
        </w:rPr>
        <w:t>Self Propelled</w:t>
      </w:r>
      <w:proofErr w:type="gramEnd"/>
      <w:r w:rsidRPr="00622114">
        <w:rPr>
          <w:lang w:val="en-US"/>
        </w:rPr>
        <w:t xml:space="preserve"> Pivot Sprinkler Irrigation System. </w:t>
      </w:r>
      <w:r>
        <w:rPr>
          <w:rStyle w:val="nfase"/>
          <w:rFonts w:eastAsiaTheme="majorEastAsia"/>
        </w:rPr>
        <w:t>ASAE, 11</w:t>
      </w:r>
      <w:r>
        <w:t>(1), 11–15.</w:t>
      </w:r>
    </w:p>
    <w:p w14:paraId="65018821" w14:textId="77777777" w:rsidR="00622114" w:rsidRDefault="00622114" w:rsidP="00622114">
      <w:pPr>
        <w:pStyle w:val="NormalWeb"/>
      </w:pPr>
      <w:r>
        <w:t xml:space="preserve">IBGE. (2023). </w:t>
      </w:r>
      <w:r>
        <w:rPr>
          <w:rStyle w:val="nfase"/>
          <w:rFonts w:eastAsiaTheme="majorEastAsia"/>
        </w:rPr>
        <w:t>Produção Agrícola Municipal 2022</w:t>
      </w:r>
      <w:r>
        <w:t xml:space="preserve">. Rio de Janeiro: IBGE. Disponível em: </w:t>
      </w:r>
      <w:hyperlink r:id="rId20" w:tgtFrame="_new" w:history="1">
        <w:r>
          <w:rPr>
            <w:rStyle w:val="Hyperlink"/>
            <w:rFonts w:eastAsiaTheme="majorEastAsia"/>
          </w:rPr>
          <w:t>http://comexstat.mdic.gov.br/pt/home</w:t>
        </w:r>
      </w:hyperlink>
      <w:r>
        <w:t>.</w:t>
      </w:r>
    </w:p>
    <w:p w14:paraId="06D048D0" w14:textId="77777777" w:rsidR="00622114" w:rsidRPr="00622114" w:rsidRDefault="00622114" w:rsidP="00622114">
      <w:pPr>
        <w:pStyle w:val="NormalWeb"/>
        <w:rPr>
          <w:lang w:val="en-US"/>
        </w:rPr>
      </w:pPr>
      <w:r>
        <w:t xml:space="preserve">IBGE. (2023). </w:t>
      </w:r>
      <w:r>
        <w:rPr>
          <w:rStyle w:val="nfase"/>
          <w:rFonts w:eastAsiaTheme="majorEastAsia"/>
        </w:rPr>
        <w:t>Mapa de Solos do Brasil</w:t>
      </w:r>
      <w:r>
        <w:t xml:space="preserve">. Disponível em: </w:t>
      </w:r>
      <w:hyperlink r:id="rId21" w:tgtFrame="_new" w:history="1">
        <w:r>
          <w:rPr>
            <w:rStyle w:val="Hyperlink"/>
            <w:rFonts w:eastAsiaTheme="majorEastAsia"/>
          </w:rPr>
          <w:t>http://www.dpi.inpe.br/Ambdata/English/soil_map.php</w:t>
        </w:r>
      </w:hyperlink>
      <w:r>
        <w:t xml:space="preserve">. </w:t>
      </w:r>
      <w:proofErr w:type="spellStart"/>
      <w:r w:rsidRPr="00622114">
        <w:rPr>
          <w:lang w:val="en-US"/>
        </w:rPr>
        <w:t>Acesso</w:t>
      </w:r>
      <w:proofErr w:type="spellEnd"/>
      <w:r w:rsidRPr="00622114">
        <w:rPr>
          <w:lang w:val="en-US"/>
        </w:rPr>
        <w:t xml:space="preserve"> </w:t>
      </w:r>
      <w:proofErr w:type="spellStart"/>
      <w:r w:rsidRPr="00622114">
        <w:rPr>
          <w:lang w:val="en-US"/>
        </w:rPr>
        <w:t>em</w:t>
      </w:r>
      <w:proofErr w:type="spellEnd"/>
      <w:r w:rsidRPr="00622114">
        <w:rPr>
          <w:lang w:val="en-US"/>
        </w:rPr>
        <w:t>: 24 jun. 2023.</w:t>
      </w:r>
    </w:p>
    <w:p w14:paraId="7F85F979" w14:textId="77777777" w:rsidR="00622114" w:rsidRPr="00622114" w:rsidRDefault="00622114" w:rsidP="00622114">
      <w:pPr>
        <w:pStyle w:val="NormalWeb"/>
        <w:rPr>
          <w:lang w:val="en-US"/>
        </w:rPr>
      </w:pPr>
      <w:r w:rsidRPr="00622114">
        <w:rPr>
          <w:lang w:val="en-US"/>
        </w:rPr>
        <w:lastRenderedPageBreak/>
        <w:t xml:space="preserve">IPCC. (2022). </w:t>
      </w:r>
      <w:r w:rsidRPr="00622114">
        <w:rPr>
          <w:rStyle w:val="nfase"/>
          <w:rFonts w:eastAsiaTheme="majorEastAsia"/>
          <w:lang w:val="en-US"/>
        </w:rPr>
        <w:t>Climate Change 2022: Impacts, Adaptation and Vulnerability</w:t>
      </w:r>
      <w:r w:rsidRPr="00622114">
        <w:rPr>
          <w:lang w:val="en-US"/>
        </w:rPr>
        <w:t>. Working Group II contribution to the Sixth Assessment Report of the Intergovernmental Panel on Climate Change. Cambridge, UK and New York, NY, USA: [</w:t>
      </w:r>
      <w:proofErr w:type="spellStart"/>
      <w:r w:rsidRPr="00622114">
        <w:rPr>
          <w:lang w:val="en-US"/>
        </w:rPr>
        <w:t>s.n</w:t>
      </w:r>
      <w:proofErr w:type="spellEnd"/>
      <w:r w:rsidRPr="00622114">
        <w:rPr>
          <w:lang w:val="en-US"/>
        </w:rPr>
        <w:t>.].</w:t>
      </w:r>
    </w:p>
    <w:p w14:paraId="51C093B6" w14:textId="77777777" w:rsidR="00622114" w:rsidRPr="00622114" w:rsidRDefault="00622114" w:rsidP="00622114">
      <w:pPr>
        <w:pStyle w:val="NormalWeb"/>
        <w:rPr>
          <w:lang w:val="en-US"/>
        </w:rPr>
      </w:pPr>
      <w:r w:rsidRPr="00622114">
        <w:rPr>
          <w:lang w:val="en-US"/>
        </w:rPr>
        <w:t xml:space="preserve">Keller, J., &amp; Bliesner, R. D. (1990). </w:t>
      </w:r>
      <w:r w:rsidRPr="00622114">
        <w:rPr>
          <w:rStyle w:val="nfase"/>
          <w:rFonts w:eastAsiaTheme="majorEastAsia"/>
          <w:lang w:val="en-US"/>
        </w:rPr>
        <w:t>Sprinkle and trickle irrigation</w:t>
      </w:r>
      <w:r w:rsidRPr="00622114">
        <w:rPr>
          <w:lang w:val="en-US"/>
        </w:rPr>
        <w:t>. New York: [</w:t>
      </w:r>
      <w:proofErr w:type="spellStart"/>
      <w:r w:rsidRPr="00622114">
        <w:rPr>
          <w:lang w:val="en-US"/>
        </w:rPr>
        <w:t>s.n</w:t>
      </w:r>
      <w:proofErr w:type="spellEnd"/>
      <w:r w:rsidRPr="00622114">
        <w:rPr>
          <w:lang w:val="en-US"/>
        </w:rPr>
        <w:t>.].</w:t>
      </w:r>
    </w:p>
    <w:p w14:paraId="63EF9797" w14:textId="77777777" w:rsidR="00622114" w:rsidRDefault="00622114" w:rsidP="00622114">
      <w:pPr>
        <w:pStyle w:val="NormalWeb"/>
      </w:pPr>
      <w:r>
        <w:t xml:space="preserve">Lourenço, R. D. S. (2018). </w:t>
      </w:r>
      <w:r>
        <w:rPr>
          <w:rStyle w:val="nfase"/>
          <w:rFonts w:eastAsiaTheme="majorEastAsia"/>
        </w:rPr>
        <w:t>Modelagem das perdas por evaporação e arraste em emissores de placa defletora fixa e rotativa oscilante na irrigação via pivô central</w:t>
      </w:r>
      <w:r>
        <w:t xml:space="preserve">. (MSc). Universidade Federal de Viçosa. Disponível em: </w:t>
      </w:r>
      <w:hyperlink r:id="rId22" w:tgtFrame="_new" w:history="1">
        <w:r>
          <w:rPr>
            <w:rStyle w:val="Hyperlink"/>
            <w:rFonts w:eastAsiaTheme="majorEastAsia"/>
          </w:rPr>
          <w:t>https://www.locus.ufv.br/handle/123456789/27342</w:t>
        </w:r>
      </w:hyperlink>
      <w:r>
        <w:t>.</w:t>
      </w:r>
    </w:p>
    <w:p w14:paraId="799759F6" w14:textId="77777777" w:rsidR="00622114" w:rsidRPr="00622114" w:rsidRDefault="00622114" w:rsidP="00622114">
      <w:pPr>
        <w:pStyle w:val="NormalWeb"/>
        <w:rPr>
          <w:lang w:val="en-US"/>
        </w:rPr>
      </w:pPr>
      <w:r w:rsidRPr="00622114">
        <w:rPr>
          <w:lang w:val="en-US"/>
        </w:rPr>
        <w:t xml:space="preserve">Playán, E., &amp; Sánchez, J. (2005). Day and night wind drift and evaporation losses in sprinkler solid-sets and moving laterals. </w:t>
      </w:r>
      <w:r w:rsidRPr="00622114">
        <w:rPr>
          <w:rStyle w:val="nfase"/>
          <w:rFonts w:eastAsiaTheme="majorEastAsia"/>
          <w:lang w:val="en-US"/>
        </w:rPr>
        <w:t>Agricultural Water Management, 76</w:t>
      </w:r>
      <w:r w:rsidRPr="00622114">
        <w:rPr>
          <w:lang w:val="en-US"/>
        </w:rPr>
        <w:t>(3), 139–159.</w:t>
      </w:r>
    </w:p>
    <w:p w14:paraId="3E6337F7" w14:textId="77777777" w:rsidR="00622114" w:rsidRDefault="00622114" w:rsidP="00622114">
      <w:pPr>
        <w:pStyle w:val="NormalWeb"/>
      </w:pPr>
      <w:proofErr w:type="spellStart"/>
      <w:r w:rsidRPr="00622114">
        <w:rPr>
          <w:lang w:val="en-US"/>
        </w:rPr>
        <w:t>Tarjuelo</w:t>
      </w:r>
      <w:proofErr w:type="spellEnd"/>
      <w:r w:rsidRPr="00622114">
        <w:rPr>
          <w:lang w:val="en-US"/>
        </w:rPr>
        <w:t xml:space="preserve">, J. M., </w:t>
      </w:r>
      <w:proofErr w:type="spellStart"/>
      <w:r w:rsidRPr="00622114">
        <w:rPr>
          <w:lang w:val="en-US"/>
        </w:rPr>
        <w:t>Gónzalez</w:t>
      </w:r>
      <w:proofErr w:type="spellEnd"/>
      <w:r w:rsidRPr="00622114">
        <w:rPr>
          <w:lang w:val="en-US"/>
        </w:rPr>
        <w:t xml:space="preserve">, R., &amp; Garcia, A. (2000). Modelling evaporation and drift losses in irrigation with medium size impact sprinklers under semi-arid conditions. </w:t>
      </w:r>
      <w:r>
        <w:rPr>
          <w:rStyle w:val="nfase"/>
          <w:rFonts w:eastAsiaTheme="majorEastAsia"/>
        </w:rPr>
        <w:t>Agricultural Water Management, 43</w:t>
      </w:r>
      <w:r>
        <w:t>(3), 263–284.</w:t>
      </w:r>
    </w:p>
    <w:p w14:paraId="0AC17D7E" w14:textId="77777777" w:rsidR="00790498" w:rsidRDefault="00790498"/>
    <w:sectPr w:rsidR="00790498" w:rsidSect="00D819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ohit Hindi">
    <w:altName w:val="Yu Gothic"/>
    <w:charset w:val="80"/>
    <w:family w:val="auto"/>
    <w:pitch w:val="variable"/>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Yu Gothic"/>
    <w:charset w:val="80"/>
    <w:family w:val="auto"/>
    <w:pitch w:val="default"/>
  </w:font>
  <w:font w:name="Liberation Sans">
    <w:altName w:val="Yu Gothic"/>
    <w:charset w:val="80"/>
    <w:family w:val="swiss"/>
    <w:pitch w:val="variable"/>
  </w:font>
  <w:font w:name="WenQuanYi Micro Hei">
    <w:charset w:val="00"/>
    <w:family w:val="auto"/>
    <w:pitch w:val="variable"/>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35225D"/>
    <w:multiLevelType w:val="multilevel"/>
    <w:tmpl w:val="FE0EF16A"/>
    <w:lvl w:ilvl="0">
      <w:start w:val="2"/>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 w15:restartNumberingAfterBreak="0">
    <w:nsid w:val="2BA4670E"/>
    <w:multiLevelType w:val="hybridMultilevel"/>
    <w:tmpl w:val="5A5AA57A"/>
    <w:lvl w:ilvl="0" w:tplc="89F85E7C">
      <w:start w:val="1"/>
      <w:numFmt w:val="decimal"/>
      <w:lvlText w:val="%1."/>
      <w:lvlJc w:val="left"/>
      <w:pPr>
        <w:ind w:left="502" w:hanging="360"/>
      </w:pPr>
      <w:rPr>
        <w:rFonts w:hint="default"/>
      </w:rPr>
    </w:lvl>
    <w:lvl w:ilvl="1" w:tplc="04160011">
      <w:start w:val="1"/>
      <w:numFmt w:val="decimal"/>
      <w:lvlText w:val="%2)"/>
      <w:lvlJc w:val="left"/>
      <w:pPr>
        <w:ind w:left="1222" w:hanging="360"/>
      </w:pPr>
    </w:lvl>
    <w:lvl w:ilvl="2" w:tplc="0416001B">
      <w:start w:val="1"/>
      <w:numFmt w:val="lowerRoman"/>
      <w:lvlText w:val="%3."/>
      <w:lvlJc w:val="right"/>
      <w:pPr>
        <w:ind w:left="1942" w:hanging="180"/>
      </w:pPr>
    </w:lvl>
    <w:lvl w:ilvl="3" w:tplc="0416000F">
      <w:start w:val="1"/>
      <w:numFmt w:val="decimal"/>
      <w:lvlText w:val="%4."/>
      <w:lvlJc w:val="left"/>
      <w:pPr>
        <w:ind w:left="2662" w:hanging="360"/>
      </w:pPr>
    </w:lvl>
    <w:lvl w:ilvl="4" w:tplc="04160019">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 w15:restartNumberingAfterBreak="0">
    <w:nsid w:val="41C56B89"/>
    <w:multiLevelType w:val="hybridMultilevel"/>
    <w:tmpl w:val="0DB2E32A"/>
    <w:lvl w:ilvl="0" w:tplc="FFFFFFFF">
      <w:start w:val="1"/>
      <w:numFmt w:val="decimal"/>
      <w:lvlText w:val="%1."/>
      <w:lvlJc w:val="left"/>
      <w:pPr>
        <w:ind w:left="502" w:hanging="360"/>
      </w:pPr>
      <w:rPr>
        <w:rFonts w:hint="default"/>
      </w:rPr>
    </w:lvl>
    <w:lvl w:ilvl="1" w:tplc="FFFFFFFF">
      <w:start w:val="1"/>
      <w:numFmt w:val="decimal"/>
      <w:lvlText w:val="%2)"/>
      <w:lvlJc w:val="left"/>
      <w:pPr>
        <w:ind w:left="1222" w:hanging="360"/>
      </w:pPr>
    </w:lvl>
    <w:lvl w:ilvl="2" w:tplc="FFFFFFFF">
      <w:start w:val="1"/>
      <w:numFmt w:val="lowerRoman"/>
      <w:lvlText w:val="%3."/>
      <w:lvlJc w:val="right"/>
      <w:pPr>
        <w:ind w:left="1942" w:hanging="180"/>
      </w:pPr>
    </w:lvl>
    <w:lvl w:ilvl="3" w:tplc="FFFFFFFF">
      <w:start w:val="1"/>
      <w:numFmt w:val="decimal"/>
      <w:lvlText w:val="%4."/>
      <w:lvlJc w:val="left"/>
      <w:pPr>
        <w:ind w:left="2662" w:hanging="360"/>
      </w:pPr>
    </w:lvl>
    <w:lvl w:ilvl="4" w:tplc="FFFFFFFF">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 w15:restartNumberingAfterBreak="0">
    <w:nsid w:val="53757105"/>
    <w:multiLevelType w:val="singleLevel"/>
    <w:tmpl w:val="3AB20E26"/>
    <w:lvl w:ilvl="0">
      <w:start w:val="1"/>
      <w:numFmt w:val="lowerLetter"/>
      <w:lvlText w:val="%1)"/>
      <w:lvlJc w:val="left"/>
      <w:pPr>
        <w:tabs>
          <w:tab w:val="num" w:pos="360"/>
        </w:tabs>
        <w:ind w:left="360" w:hanging="360"/>
      </w:pPr>
      <w:rPr>
        <w:rFonts w:hint="default"/>
      </w:rPr>
    </w:lvl>
  </w:abstractNum>
  <w:num w:numId="1" w16cid:durableId="2079089488">
    <w:abstractNumId w:val="1"/>
  </w:num>
  <w:num w:numId="2" w16cid:durableId="200292667">
    <w:abstractNumId w:val="0"/>
  </w:num>
  <w:num w:numId="3" w16cid:durableId="1839728826">
    <w:abstractNumId w:val="3"/>
  </w:num>
  <w:num w:numId="4" w16cid:durableId="8417475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54D"/>
    <w:rsid w:val="00005FB4"/>
    <w:rsid w:val="00062A1C"/>
    <w:rsid w:val="0006534B"/>
    <w:rsid w:val="000762D5"/>
    <w:rsid w:val="00204242"/>
    <w:rsid w:val="002050F2"/>
    <w:rsid w:val="00273AAB"/>
    <w:rsid w:val="00284D2C"/>
    <w:rsid w:val="002F343E"/>
    <w:rsid w:val="00310C99"/>
    <w:rsid w:val="00336671"/>
    <w:rsid w:val="00345974"/>
    <w:rsid w:val="0038635A"/>
    <w:rsid w:val="003B068E"/>
    <w:rsid w:val="003C7861"/>
    <w:rsid w:val="003E40A8"/>
    <w:rsid w:val="003F528A"/>
    <w:rsid w:val="00415DE0"/>
    <w:rsid w:val="00426E4E"/>
    <w:rsid w:val="0044448A"/>
    <w:rsid w:val="004F771B"/>
    <w:rsid w:val="00503575"/>
    <w:rsid w:val="00520B89"/>
    <w:rsid w:val="0054351E"/>
    <w:rsid w:val="005655C0"/>
    <w:rsid w:val="005B71B9"/>
    <w:rsid w:val="005C2F93"/>
    <w:rsid w:val="005C71D2"/>
    <w:rsid w:val="00622114"/>
    <w:rsid w:val="00627621"/>
    <w:rsid w:val="00666CA5"/>
    <w:rsid w:val="00676199"/>
    <w:rsid w:val="00693334"/>
    <w:rsid w:val="006E7988"/>
    <w:rsid w:val="006F50B3"/>
    <w:rsid w:val="00725BD8"/>
    <w:rsid w:val="00790498"/>
    <w:rsid w:val="007B0720"/>
    <w:rsid w:val="007C1C05"/>
    <w:rsid w:val="00807536"/>
    <w:rsid w:val="0083565D"/>
    <w:rsid w:val="00883C24"/>
    <w:rsid w:val="00885A77"/>
    <w:rsid w:val="008D34CA"/>
    <w:rsid w:val="009214DF"/>
    <w:rsid w:val="00971867"/>
    <w:rsid w:val="009741DD"/>
    <w:rsid w:val="00985667"/>
    <w:rsid w:val="00991437"/>
    <w:rsid w:val="009A2067"/>
    <w:rsid w:val="009B2B78"/>
    <w:rsid w:val="009B4074"/>
    <w:rsid w:val="00A17CA0"/>
    <w:rsid w:val="00A22D27"/>
    <w:rsid w:val="00A77F00"/>
    <w:rsid w:val="00AA1331"/>
    <w:rsid w:val="00AB07CF"/>
    <w:rsid w:val="00AD5F43"/>
    <w:rsid w:val="00B045DB"/>
    <w:rsid w:val="00B11D6C"/>
    <w:rsid w:val="00B63C60"/>
    <w:rsid w:val="00B77116"/>
    <w:rsid w:val="00BB589D"/>
    <w:rsid w:val="00BD0260"/>
    <w:rsid w:val="00BD6466"/>
    <w:rsid w:val="00BE0396"/>
    <w:rsid w:val="00BE5E1F"/>
    <w:rsid w:val="00C05CF2"/>
    <w:rsid w:val="00C4654D"/>
    <w:rsid w:val="00C5299C"/>
    <w:rsid w:val="00C93E8F"/>
    <w:rsid w:val="00CA35B2"/>
    <w:rsid w:val="00CD0BE9"/>
    <w:rsid w:val="00CD308C"/>
    <w:rsid w:val="00CF5581"/>
    <w:rsid w:val="00D22E35"/>
    <w:rsid w:val="00D37D83"/>
    <w:rsid w:val="00D55641"/>
    <w:rsid w:val="00D8197C"/>
    <w:rsid w:val="00D95E6F"/>
    <w:rsid w:val="00DA00D8"/>
    <w:rsid w:val="00DA2FA9"/>
    <w:rsid w:val="00DB0F81"/>
    <w:rsid w:val="00E45C24"/>
    <w:rsid w:val="00E81A68"/>
    <w:rsid w:val="00E913C7"/>
    <w:rsid w:val="00E93D77"/>
    <w:rsid w:val="00EC69F3"/>
    <w:rsid w:val="00F17A34"/>
    <w:rsid w:val="00F30275"/>
    <w:rsid w:val="00F92946"/>
    <w:rsid w:val="00FA0A9C"/>
    <w:rsid w:val="00FA67E7"/>
    <w:rsid w:val="00FC6717"/>
    <w:rsid w:val="00FE2F60"/>
    <w:rsid w:val="00FF2724"/>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EE3748"/>
  <w15:chartTrackingRefBased/>
  <w15:docId w15:val="{BF0D83DD-F4A8-4F77-BECA-962869B37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qFormat/>
    <w:rsid w:val="00C465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nhideWhenUsed/>
    <w:qFormat/>
    <w:rsid w:val="00C465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nhideWhenUsed/>
    <w:qFormat/>
    <w:rsid w:val="00C4654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nhideWhenUsed/>
    <w:qFormat/>
    <w:rsid w:val="00C4654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nhideWhenUsed/>
    <w:qFormat/>
    <w:rsid w:val="00C4654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C4654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C4654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C4654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C4654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4654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rsid w:val="00C4654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rsid w:val="00C4654D"/>
    <w:rPr>
      <w:rFonts w:eastAsiaTheme="majorEastAsia" w:cstheme="majorBidi"/>
      <w:color w:val="0F4761" w:themeColor="accent1" w:themeShade="BF"/>
      <w:sz w:val="28"/>
      <w:szCs w:val="28"/>
    </w:rPr>
  </w:style>
  <w:style w:type="character" w:customStyle="1" w:styleId="Ttulo4Char">
    <w:name w:val="Título 4 Char"/>
    <w:basedOn w:val="Fontepargpadro"/>
    <w:link w:val="Ttulo4"/>
    <w:rsid w:val="00C4654D"/>
    <w:rPr>
      <w:rFonts w:eastAsiaTheme="majorEastAsia" w:cstheme="majorBidi"/>
      <w:i/>
      <w:iCs/>
      <w:color w:val="0F4761" w:themeColor="accent1" w:themeShade="BF"/>
    </w:rPr>
  </w:style>
  <w:style w:type="character" w:customStyle="1" w:styleId="Ttulo5Char">
    <w:name w:val="Título 5 Char"/>
    <w:basedOn w:val="Fontepargpadro"/>
    <w:link w:val="Ttulo5"/>
    <w:rsid w:val="00C4654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C4654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C4654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C4654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C4654D"/>
    <w:rPr>
      <w:rFonts w:eastAsiaTheme="majorEastAsia" w:cstheme="majorBidi"/>
      <w:color w:val="272727" w:themeColor="text1" w:themeTint="D8"/>
    </w:rPr>
  </w:style>
  <w:style w:type="paragraph" w:styleId="Ttulo">
    <w:name w:val="Title"/>
    <w:aliases w:val="EL. TEXTUAL"/>
    <w:basedOn w:val="Normal"/>
    <w:next w:val="Normal"/>
    <w:link w:val="TtuloChar"/>
    <w:qFormat/>
    <w:rsid w:val="00C465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aliases w:val="EL. TEXTUAL Char"/>
    <w:basedOn w:val="Fontepargpadro"/>
    <w:link w:val="Ttulo"/>
    <w:rsid w:val="00C4654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C4654D"/>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C4654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C4654D"/>
    <w:pPr>
      <w:spacing w:before="160"/>
      <w:jc w:val="center"/>
    </w:pPr>
    <w:rPr>
      <w:i/>
      <w:iCs/>
      <w:color w:val="404040" w:themeColor="text1" w:themeTint="BF"/>
    </w:rPr>
  </w:style>
  <w:style w:type="character" w:customStyle="1" w:styleId="CitaoChar">
    <w:name w:val="Citação Char"/>
    <w:basedOn w:val="Fontepargpadro"/>
    <w:link w:val="Citao"/>
    <w:uiPriority w:val="29"/>
    <w:rsid w:val="00C4654D"/>
    <w:rPr>
      <w:i/>
      <w:iCs/>
      <w:color w:val="404040" w:themeColor="text1" w:themeTint="BF"/>
    </w:rPr>
  </w:style>
  <w:style w:type="paragraph" w:styleId="PargrafodaLista">
    <w:name w:val="List Paragraph"/>
    <w:basedOn w:val="Normal"/>
    <w:uiPriority w:val="34"/>
    <w:qFormat/>
    <w:rsid w:val="00C4654D"/>
    <w:pPr>
      <w:ind w:left="720"/>
      <w:contextualSpacing/>
    </w:pPr>
  </w:style>
  <w:style w:type="character" w:styleId="nfaseIntensa">
    <w:name w:val="Intense Emphasis"/>
    <w:basedOn w:val="Fontepargpadro"/>
    <w:uiPriority w:val="21"/>
    <w:qFormat/>
    <w:rsid w:val="00C4654D"/>
    <w:rPr>
      <w:i/>
      <w:iCs/>
      <w:color w:val="0F4761" w:themeColor="accent1" w:themeShade="BF"/>
    </w:rPr>
  </w:style>
  <w:style w:type="paragraph" w:styleId="CitaoIntensa">
    <w:name w:val="Intense Quote"/>
    <w:basedOn w:val="Normal"/>
    <w:next w:val="Normal"/>
    <w:link w:val="CitaoIntensaChar"/>
    <w:uiPriority w:val="30"/>
    <w:qFormat/>
    <w:rsid w:val="00C465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C4654D"/>
    <w:rPr>
      <w:i/>
      <w:iCs/>
      <w:color w:val="0F4761" w:themeColor="accent1" w:themeShade="BF"/>
    </w:rPr>
  </w:style>
  <w:style w:type="character" w:styleId="RefernciaIntensa">
    <w:name w:val="Intense Reference"/>
    <w:basedOn w:val="Fontepargpadro"/>
    <w:uiPriority w:val="32"/>
    <w:qFormat/>
    <w:rsid w:val="00C4654D"/>
    <w:rPr>
      <w:b/>
      <w:bCs/>
      <w:smallCaps/>
      <w:color w:val="0F4761" w:themeColor="accent1" w:themeShade="BF"/>
      <w:spacing w:val="5"/>
    </w:rPr>
  </w:style>
  <w:style w:type="paragraph" w:styleId="NormalWeb">
    <w:name w:val="Normal (Web)"/>
    <w:basedOn w:val="Normal"/>
    <w:uiPriority w:val="99"/>
    <w:unhideWhenUsed/>
    <w:rsid w:val="00B045DB"/>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styleId="Rodap">
    <w:name w:val="footer"/>
    <w:basedOn w:val="Normal"/>
    <w:link w:val="RodapChar"/>
    <w:uiPriority w:val="99"/>
    <w:rsid w:val="009214DF"/>
    <w:pPr>
      <w:tabs>
        <w:tab w:val="center" w:pos="4419"/>
        <w:tab w:val="right" w:pos="8838"/>
      </w:tabs>
      <w:spacing w:after="0" w:line="360" w:lineRule="auto"/>
      <w:ind w:firstLine="561"/>
      <w:jc w:val="both"/>
    </w:pPr>
    <w:rPr>
      <w:rFonts w:ascii="Arial" w:eastAsia="Times New Roman" w:hAnsi="Arial" w:cs="Times New Roman"/>
      <w:kern w:val="0"/>
      <w:sz w:val="24"/>
      <w:szCs w:val="20"/>
      <w:lang w:eastAsia="zh-CN"/>
      <w14:ligatures w14:val="none"/>
    </w:rPr>
  </w:style>
  <w:style w:type="character" w:customStyle="1" w:styleId="RodapChar">
    <w:name w:val="Rodapé Char"/>
    <w:basedOn w:val="Fontepargpadro"/>
    <w:link w:val="Rodap"/>
    <w:uiPriority w:val="99"/>
    <w:rsid w:val="009214DF"/>
    <w:rPr>
      <w:rFonts w:ascii="Arial" w:eastAsia="Times New Roman" w:hAnsi="Arial" w:cs="Times New Roman"/>
      <w:kern w:val="0"/>
      <w:sz w:val="24"/>
      <w:szCs w:val="20"/>
      <w:lang w:eastAsia="zh-CN"/>
      <w14:ligatures w14:val="none"/>
    </w:rPr>
  </w:style>
  <w:style w:type="paragraph" w:styleId="Legenda">
    <w:name w:val="caption"/>
    <w:basedOn w:val="Normal"/>
    <w:qFormat/>
    <w:rsid w:val="009214DF"/>
    <w:pPr>
      <w:keepNext/>
      <w:suppressLineNumbers/>
      <w:suppressAutoHyphens/>
      <w:spacing w:after="0" w:line="360" w:lineRule="auto"/>
      <w:ind w:firstLine="561"/>
      <w:jc w:val="both"/>
    </w:pPr>
    <w:rPr>
      <w:rFonts w:ascii="Arial" w:eastAsia="Calibri" w:hAnsi="Arial" w:cs="Lohit Hindi"/>
      <w:iCs/>
      <w:kern w:val="0"/>
      <w:sz w:val="20"/>
      <w:szCs w:val="20"/>
      <w:lang w:eastAsia="zh-CN"/>
      <w14:ligatures w14:val="none"/>
    </w:rPr>
  </w:style>
  <w:style w:type="paragraph" w:customStyle="1" w:styleId="FIGURASTABELAS">
    <w:name w:val="FIGURAS/TABELAS"/>
    <w:basedOn w:val="Corpodetexto"/>
    <w:qFormat/>
    <w:rsid w:val="009214DF"/>
    <w:pPr>
      <w:tabs>
        <w:tab w:val="left" w:pos="851"/>
      </w:tabs>
      <w:spacing w:after="0" w:line="360" w:lineRule="auto"/>
      <w:jc w:val="both"/>
    </w:pPr>
    <w:rPr>
      <w:rFonts w:ascii="Arial" w:eastAsia="Times New Roman" w:hAnsi="Arial" w:cs="Times New Roman"/>
      <w:noProof/>
      <w:kern w:val="0"/>
      <w:sz w:val="24"/>
      <w:szCs w:val="20"/>
      <w:lang w:eastAsia="zh-CN"/>
      <w14:ligatures w14:val="none"/>
    </w:rPr>
  </w:style>
  <w:style w:type="paragraph" w:styleId="Corpodetexto">
    <w:name w:val="Body Text"/>
    <w:basedOn w:val="Normal"/>
    <w:link w:val="CorpodetextoChar"/>
    <w:unhideWhenUsed/>
    <w:rsid w:val="009214DF"/>
    <w:pPr>
      <w:spacing w:after="120"/>
    </w:pPr>
  </w:style>
  <w:style w:type="character" w:customStyle="1" w:styleId="CorpodetextoChar">
    <w:name w:val="Corpo de texto Char"/>
    <w:basedOn w:val="Fontepargpadro"/>
    <w:link w:val="Corpodetexto"/>
    <w:rsid w:val="009214DF"/>
  </w:style>
  <w:style w:type="paragraph" w:styleId="Recuodecorpodetexto2">
    <w:name w:val="Body Text Indent 2"/>
    <w:basedOn w:val="Normal"/>
    <w:link w:val="Recuodecorpodetexto2Char"/>
    <w:rsid w:val="00790498"/>
    <w:pPr>
      <w:spacing w:after="0" w:line="360" w:lineRule="auto"/>
      <w:ind w:left="4395" w:firstLine="425"/>
      <w:jc w:val="both"/>
    </w:pPr>
    <w:rPr>
      <w:rFonts w:ascii="Arial" w:eastAsia="Times New Roman" w:hAnsi="Arial" w:cs="Times New Roman"/>
      <w:kern w:val="0"/>
      <w:sz w:val="24"/>
      <w:szCs w:val="20"/>
      <w:lang w:eastAsia="zh-CN"/>
      <w14:ligatures w14:val="none"/>
    </w:rPr>
  </w:style>
  <w:style w:type="character" w:customStyle="1" w:styleId="Recuodecorpodetexto2Char">
    <w:name w:val="Recuo de corpo de texto 2 Char"/>
    <w:basedOn w:val="Fontepargpadro"/>
    <w:link w:val="Recuodecorpodetexto2"/>
    <w:rsid w:val="00790498"/>
    <w:rPr>
      <w:rFonts w:ascii="Arial" w:eastAsia="Times New Roman" w:hAnsi="Arial" w:cs="Times New Roman"/>
      <w:kern w:val="0"/>
      <w:sz w:val="24"/>
      <w:szCs w:val="20"/>
      <w:lang w:eastAsia="zh-CN"/>
      <w14:ligatures w14:val="none"/>
    </w:rPr>
  </w:style>
  <w:style w:type="paragraph" w:styleId="Corpodetexto2">
    <w:name w:val="Body Text 2"/>
    <w:basedOn w:val="Normal"/>
    <w:link w:val="Corpodetexto2Char"/>
    <w:rsid w:val="00790498"/>
    <w:pPr>
      <w:tabs>
        <w:tab w:val="left" w:pos="851"/>
      </w:tabs>
      <w:spacing w:after="0" w:line="360" w:lineRule="auto"/>
      <w:ind w:firstLine="561"/>
      <w:jc w:val="both"/>
    </w:pPr>
    <w:rPr>
      <w:rFonts w:ascii="Arial" w:eastAsia="Times New Roman" w:hAnsi="Arial" w:cs="Times New Roman"/>
      <w:b/>
      <w:kern w:val="0"/>
      <w:sz w:val="24"/>
      <w:szCs w:val="20"/>
      <w:lang w:eastAsia="zh-CN"/>
      <w14:ligatures w14:val="none"/>
    </w:rPr>
  </w:style>
  <w:style w:type="character" w:customStyle="1" w:styleId="Corpodetexto2Char">
    <w:name w:val="Corpo de texto 2 Char"/>
    <w:basedOn w:val="Fontepargpadro"/>
    <w:link w:val="Corpodetexto2"/>
    <w:rsid w:val="00790498"/>
    <w:rPr>
      <w:rFonts w:ascii="Arial" w:eastAsia="Times New Roman" w:hAnsi="Arial" w:cs="Times New Roman"/>
      <w:b/>
      <w:kern w:val="0"/>
      <w:sz w:val="24"/>
      <w:szCs w:val="20"/>
      <w:lang w:eastAsia="zh-CN"/>
      <w14:ligatures w14:val="none"/>
    </w:rPr>
  </w:style>
  <w:style w:type="character" w:styleId="Nmerodepgina">
    <w:name w:val="page number"/>
    <w:basedOn w:val="Fontepargpadro"/>
    <w:rsid w:val="00790498"/>
  </w:style>
  <w:style w:type="paragraph" w:styleId="Cabealho">
    <w:name w:val="header"/>
    <w:basedOn w:val="Normal"/>
    <w:link w:val="CabealhoChar"/>
    <w:uiPriority w:val="99"/>
    <w:rsid w:val="00790498"/>
    <w:pPr>
      <w:tabs>
        <w:tab w:val="center" w:pos="4419"/>
        <w:tab w:val="right" w:pos="8838"/>
      </w:tabs>
      <w:spacing w:after="0" w:line="360" w:lineRule="auto"/>
      <w:ind w:firstLine="561"/>
      <w:jc w:val="both"/>
    </w:pPr>
    <w:rPr>
      <w:rFonts w:ascii="Arial" w:eastAsia="Times New Roman" w:hAnsi="Arial" w:cs="Times New Roman"/>
      <w:kern w:val="0"/>
      <w:sz w:val="24"/>
      <w:szCs w:val="20"/>
      <w:lang w:eastAsia="zh-CN"/>
      <w14:ligatures w14:val="none"/>
    </w:rPr>
  </w:style>
  <w:style w:type="character" w:customStyle="1" w:styleId="CabealhoChar">
    <w:name w:val="Cabeçalho Char"/>
    <w:basedOn w:val="Fontepargpadro"/>
    <w:link w:val="Cabealho"/>
    <w:uiPriority w:val="99"/>
    <w:rsid w:val="00790498"/>
    <w:rPr>
      <w:rFonts w:ascii="Arial" w:eastAsia="Times New Roman" w:hAnsi="Arial" w:cs="Times New Roman"/>
      <w:kern w:val="0"/>
      <w:sz w:val="24"/>
      <w:szCs w:val="20"/>
      <w:lang w:eastAsia="zh-CN"/>
      <w14:ligatures w14:val="none"/>
    </w:rPr>
  </w:style>
  <w:style w:type="paragraph" w:styleId="CabealhodoSumrio">
    <w:name w:val="TOC Heading"/>
    <w:basedOn w:val="Ttulo1"/>
    <w:next w:val="Normal"/>
    <w:uiPriority w:val="39"/>
    <w:unhideWhenUsed/>
    <w:qFormat/>
    <w:rsid w:val="00790498"/>
    <w:pPr>
      <w:keepNext w:val="0"/>
      <w:suppressAutoHyphens/>
      <w:spacing w:before="480" w:after="200" w:line="276" w:lineRule="auto"/>
      <w:ind w:left="360" w:hanging="360"/>
      <w:jc w:val="both"/>
      <w:outlineLvl w:val="9"/>
    </w:pPr>
    <w:rPr>
      <w:b/>
      <w:kern w:val="0"/>
      <w:sz w:val="28"/>
      <w:szCs w:val="28"/>
      <w14:ligatures w14:val="none"/>
    </w:rPr>
  </w:style>
  <w:style w:type="paragraph" w:styleId="Sumrio1">
    <w:name w:val="toc 1"/>
    <w:basedOn w:val="Normal"/>
    <w:next w:val="Normal"/>
    <w:autoRedefine/>
    <w:uiPriority w:val="39"/>
    <w:qFormat/>
    <w:rsid w:val="00790498"/>
    <w:pPr>
      <w:tabs>
        <w:tab w:val="left" w:pos="709"/>
        <w:tab w:val="right" w:leader="dot" w:pos="9062"/>
      </w:tabs>
      <w:spacing w:after="120" w:line="360" w:lineRule="auto"/>
      <w:ind w:firstLine="561"/>
      <w:jc w:val="both"/>
    </w:pPr>
    <w:rPr>
      <w:rFonts w:ascii="Arial" w:eastAsia="Times New Roman" w:hAnsi="Arial" w:cs="Arial"/>
      <w:b/>
      <w:bCs/>
      <w:noProof/>
      <w:kern w:val="0"/>
      <w:sz w:val="24"/>
      <w:szCs w:val="20"/>
      <w:lang w:eastAsia="zh-CN"/>
      <w14:ligatures w14:val="none"/>
    </w:rPr>
  </w:style>
  <w:style w:type="character" w:styleId="Hyperlink">
    <w:name w:val="Hyperlink"/>
    <w:basedOn w:val="Fontepargpadro"/>
    <w:uiPriority w:val="99"/>
    <w:unhideWhenUsed/>
    <w:rsid w:val="00790498"/>
    <w:rPr>
      <w:color w:val="467886" w:themeColor="hyperlink"/>
      <w:u w:val="single"/>
    </w:rPr>
  </w:style>
  <w:style w:type="paragraph" w:styleId="Textodebalo">
    <w:name w:val="Balloon Text"/>
    <w:basedOn w:val="Normal"/>
    <w:link w:val="TextodebaloChar"/>
    <w:rsid w:val="00790498"/>
    <w:pPr>
      <w:spacing w:after="0" w:line="360" w:lineRule="auto"/>
      <w:ind w:firstLine="561"/>
      <w:jc w:val="both"/>
    </w:pPr>
    <w:rPr>
      <w:rFonts w:ascii="Tahoma" w:eastAsia="Times New Roman" w:hAnsi="Tahoma" w:cs="Tahoma"/>
      <w:kern w:val="0"/>
      <w:sz w:val="16"/>
      <w:szCs w:val="16"/>
      <w:lang w:eastAsia="zh-CN"/>
      <w14:ligatures w14:val="none"/>
    </w:rPr>
  </w:style>
  <w:style w:type="character" w:customStyle="1" w:styleId="TextodebaloChar">
    <w:name w:val="Texto de balão Char"/>
    <w:basedOn w:val="Fontepargpadro"/>
    <w:link w:val="Textodebalo"/>
    <w:rsid w:val="00790498"/>
    <w:rPr>
      <w:rFonts w:ascii="Tahoma" w:eastAsia="Times New Roman" w:hAnsi="Tahoma" w:cs="Tahoma"/>
      <w:kern w:val="0"/>
      <w:sz w:val="16"/>
      <w:szCs w:val="16"/>
      <w:lang w:eastAsia="zh-CN"/>
      <w14:ligatures w14:val="none"/>
    </w:rPr>
  </w:style>
  <w:style w:type="paragraph" w:styleId="Sumrio2">
    <w:name w:val="toc 2"/>
    <w:basedOn w:val="Normal"/>
    <w:next w:val="Normal"/>
    <w:autoRedefine/>
    <w:uiPriority w:val="39"/>
    <w:unhideWhenUsed/>
    <w:qFormat/>
    <w:rsid w:val="00790498"/>
    <w:pPr>
      <w:spacing w:after="120" w:line="360" w:lineRule="auto"/>
      <w:ind w:left="284" w:firstLine="561"/>
      <w:jc w:val="both"/>
    </w:pPr>
    <w:rPr>
      <w:rFonts w:ascii="Arial" w:eastAsiaTheme="minorEastAsia" w:hAnsi="Arial"/>
      <w:kern w:val="0"/>
      <w:sz w:val="24"/>
      <w14:ligatures w14:val="none"/>
    </w:rPr>
  </w:style>
  <w:style w:type="paragraph" w:styleId="Sumrio3">
    <w:name w:val="toc 3"/>
    <w:aliases w:val="Estilo 3"/>
    <w:basedOn w:val="Normal"/>
    <w:next w:val="Normal"/>
    <w:link w:val="Sumrio3Char"/>
    <w:autoRedefine/>
    <w:uiPriority w:val="39"/>
    <w:unhideWhenUsed/>
    <w:qFormat/>
    <w:rsid w:val="00790498"/>
    <w:pPr>
      <w:tabs>
        <w:tab w:val="right" w:leader="dot" w:pos="9062"/>
      </w:tabs>
      <w:spacing w:after="120" w:line="360" w:lineRule="auto"/>
      <w:ind w:left="709" w:firstLine="561"/>
      <w:jc w:val="both"/>
    </w:pPr>
    <w:rPr>
      <w:rFonts w:ascii="Arial" w:eastAsiaTheme="minorEastAsia" w:hAnsi="Arial"/>
      <w:noProof/>
      <w:kern w:val="0"/>
      <w:sz w:val="24"/>
      <w14:ligatures w14:val="none"/>
    </w:rPr>
  </w:style>
  <w:style w:type="character" w:customStyle="1" w:styleId="mediumtext1">
    <w:name w:val="medium_text1"/>
    <w:basedOn w:val="Fontepargpadro"/>
    <w:rsid w:val="00790498"/>
    <w:rPr>
      <w:sz w:val="22"/>
      <w:szCs w:val="22"/>
    </w:rPr>
  </w:style>
  <w:style w:type="character" w:customStyle="1" w:styleId="st">
    <w:name w:val="st"/>
    <w:basedOn w:val="Fontepargpadro"/>
    <w:rsid w:val="00790498"/>
  </w:style>
  <w:style w:type="character" w:customStyle="1" w:styleId="WW8Num1z1">
    <w:name w:val="WW8Num1z1"/>
    <w:rsid w:val="00790498"/>
    <w:rPr>
      <w:b/>
    </w:rPr>
  </w:style>
  <w:style w:type="character" w:customStyle="1" w:styleId="WW8Num2z0">
    <w:name w:val="WW8Num2z0"/>
    <w:rsid w:val="00790498"/>
    <w:rPr>
      <w:b/>
    </w:rPr>
  </w:style>
  <w:style w:type="character" w:customStyle="1" w:styleId="WW8Num3z0">
    <w:name w:val="WW8Num3z0"/>
    <w:rsid w:val="00790498"/>
    <w:rPr>
      <w:rFonts w:ascii="Times New Roman" w:hAnsi="Times New Roman" w:cs="Times New Roman"/>
    </w:rPr>
  </w:style>
  <w:style w:type="character" w:customStyle="1" w:styleId="WW8Num4z0">
    <w:name w:val="WW8Num4z0"/>
    <w:rsid w:val="00790498"/>
    <w:rPr>
      <w:b/>
      <w:color w:val="auto"/>
      <w:sz w:val="24"/>
    </w:rPr>
  </w:style>
  <w:style w:type="character" w:customStyle="1" w:styleId="WW8Num6z0">
    <w:name w:val="WW8Num6z0"/>
    <w:rsid w:val="00790498"/>
    <w:rPr>
      <w:rFonts w:ascii="Symbol" w:hAnsi="Symbol" w:cs="Symbol"/>
      <w:sz w:val="20"/>
    </w:rPr>
  </w:style>
  <w:style w:type="character" w:customStyle="1" w:styleId="WW8Num6z1">
    <w:name w:val="WW8Num6z1"/>
    <w:rsid w:val="00790498"/>
    <w:rPr>
      <w:rFonts w:ascii="Courier New" w:hAnsi="Courier New" w:cs="Courier New"/>
      <w:sz w:val="20"/>
    </w:rPr>
  </w:style>
  <w:style w:type="character" w:customStyle="1" w:styleId="WW8Num6z2">
    <w:name w:val="WW8Num6z2"/>
    <w:rsid w:val="00790498"/>
    <w:rPr>
      <w:rFonts w:ascii="Wingdings" w:hAnsi="Wingdings" w:cs="Wingdings"/>
      <w:sz w:val="20"/>
    </w:rPr>
  </w:style>
  <w:style w:type="character" w:customStyle="1" w:styleId="WW8Num7z0">
    <w:name w:val="WW8Num7z0"/>
    <w:rsid w:val="00790498"/>
    <w:rPr>
      <w:rFonts w:ascii="Symbol" w:hAnsi="Symbol" w:cs="Symbol"/>
      <w:sz w:val="20"/>
    </w:rPr>
  </w:style>
  <w:style w:type="character" w:customStyle="1" w:styleId="WW8Num7z1">
    <w:name w:val="WW8Num7z1"/>
    <w:rsid w:val="00790498"/>
    <w:rPr>
      <w:rFonts w:ascii="Courier New" w:hAnsi="Courier New" w:cs="Courier New"/>
      <w:sz w:val="20"/>
    </w:rPr>
  </w:style>
  <w:style w:type="character" w:customStyle="1" w:styleId="WW8Num7z2">
    <w:name w:val="WW8Num7z2"/>
    <w:rsid w:val="00790498"/>
    <w:rPr>
      <w:rFonts w:ascii="Wingdings" w:hAnsi="Wingdings" w:cs="Wingdings"/>
      <w:sz w:val="20"/>
    </w:rPr>
  </w:style>
  <w:style w:type="character" w:customStyle="1" w:styleId="WW8Num8z0">
    <w:name w:val="WW8Num8z0"/>
    <w:rsid w:val="00790498"/>
    <w:rPr>
      <w:b/>
    </w:rPr>
  </w:style>
  <w:style w:type="character" w:customStyle="1" w:styleId="WW8Num9z1">
    <w:name w:val="WW8Num9z1"/>
    <w:rsid w:val="00790498"/>
    <w:rPr>
      <w:b/>
    </w:rPr>
  </w:style>
  <w:style w:type="character" w:customStyle="1" w:styleId="WW8Num10z0">
    <w:name w:val="WW8Num10z0"/>
    <w:rsid w:val="00790498"/>
    <w:rPr>
      <w:b/>
    </w:rPr>
  </w:style>
  <w:style w:type="character" w:customStyle="1" w:styleId="WW8Num14z0">
    <w:name w:val="WW8Num14z0"/>
    <w:rsid w:val="00790498"/>
    <w:rPr>
      <w:rFonts w:ascii="Symbol" w:hAnsi="Symbol" w:cs="Symbol"/>
      <w:sz w:val="20"/>
    </w:rPr>
  </w:style>
  <w:style w:type="character" w:customStyle="1" w:styleId="WW8Num14z1">
    <w:name w:val="WW8Num14z1"/>
    <w:rsid w:val="00790498"/>
    <w:rPr>
      <w:rFonts w:ascii="Courier New" w:hAnsi="Courier New" w:cs="Courier New"/>
      <w:sz w:val="20"/>
    </w:rPr>
  </w:style>
  <w:style w:type="character" w:customStyle="1" w:styleId="WW8Num14z2">
    <w:name w:val="WW8Num14z2"/>
    <w:rsid w:val="00790498"/>
    <w:rPr>
      <w:rFonts w:ascii="Wingdings" w:hAnsi="Wingdings" w:cs="Wingdings"/>
      <w:sz w:val="20"/>
    </w:rPr>
  </w:style>
  <w:style w:type="character" w:customStyle="1" w:styleId="WW8Num15z0">
    <w:name w:val="WW8Num15z0"/>
    <w:rsid w:val="00790498"/>
    <w:rPr>
      <w:b/>
    </w:rPr>
  </w:style>
  <w:style w:type="character" w:customStyle="1" w:styleId="WW8Num16z0">
    <w:name w:val="WW8Num16z0"/>
    <w:rsid w:val="00790498"/>
    <w:rPr>
      <w:rFonts w:ascii="Symbol" w:hAnsi="Symbol" w:cs="Symbol"/>
      <w:sz w:val="20"/>
    </w:rPr>
  </w:style>
  <w:style w:type="character" w:customStyle="1" w:styleId="WW8Num16z1">
    <w:name w:val="WW8Num16z1"/>
    <w:rsid w:val="00790498"/>
    <w:rPr>
      <w:rFonts w:ascii="Courier New" w:hAnsi="Courier New" w:cs="Courier New"/>
      <w:sz w:val="20"/>
    </w:rPr>
  </w:style>
  <w:style w:type="character" w:customStyle="1" w:styleId="WW8Num16z2">
    <w:name w:val="WW8Num16z2"/>
    <w:rsid w:val="00790498"/>
    <w:rPr>
      <w:rFonts w:ascii="Wingdings" w:hAnsi="Wingdings" w:cs="Wingdings"/>
      <w:sz w:val="20"/>
    </w:rPr>
  </w:style>
  <w:style w:type="character" w:customStyle="1" w:styleId="WW8Num21z1">
    <w:name w:val="WW8Num21z1"/>
    <w:rsid w:val="00790498"/>
    <w:rPr>
      <w:b/>
    </w:rPr>
  </w:style>
  <w:style w:type="character" w:customStyle="1" w:styleId="WW8Num22z0">
    <w:name w:val="WW8Num22z0"/>
    <w:rsid w:val="00790498"/>
    <w:rPr>
      <w:rFonts w:ascii="Symbol" w:hAnsi="Symbol" w:cs="Symbol"/>
      <w:sz w:val="20"/>
    </w:rPr>
  </w:style>
  <w:style w:type="character" w:customStyle="1" w:styleId="WW8Num22z1">
    <w:name w:val="WW8Num22z1"/>
    <w:rsid w:val="00790498"/>
    <w:rPr>
      <w:rFonts w:ascii="Courier New" w:hAnsi="Courier New" w:cs="Courier New"/>
      <w:sz w:val="20"/>
    </w:rPr>
  </w:style>
  <w:style w:type="character" w:customStyle="1" w:styleId="WW8Num22z2">
    <w:name w:val="WW8Num22z2"/>
    <w:rsid w:val="00790498"/>
    <w:rPr>
      <w:rFonts w:ascii="Wingdings" w:hAnsi="Wingdings" w:cs="Wingdings"/>
      <w:sz w:val="20"/>
    </w:rPr>
  </w:style>
  <w:style w:type="character" w:customStyle="1" w:styleId="Fontepargpadro1">
    <w:name w:val="Fonte parág. padrão1"/>
    <w:rsid w:val="00790498"/>
  </w:style>
  <w:style w:type="character" w:customStyle="1" w:styleId="TextodenotaderodapChar">
    <w:name w:val="Texto de nota de rodapé Char"/>
    <w:rsid w:val="00790498"/>
    <w:rPr>
      <w:rFonts w:ascii="Calibri" w:eastAsia="Calibri" w:hAnsi="Calibri" w:cs="Times New Roman"/>
      <w:sz w:val="20"/>
      <w:szCs w:val="20"/>
    </w:rPr>
  </w:style>
  <w:style w:type="character" w:customStyle="1" w:styleId="Caracteresdenotaderodap">
    <w:name w:val="Caracteres de nota de rodapé"/>
    <w:rsid w:val="00790498"/>
    <w:rPr>
      <w:vertAlign w:val="superscript"/>
    </w:rPr>
  </w:style>
  <w:style w:type="character" w:customStyle="1" w:styleId="A0">
    <w:name w:val="A0"/>
    <w:rsid w:val="00790498"/>
    <w:rPr>
      <w:color w:val="000000"/>
      <w:sz w:val="20"/>
      <w:szCs w:val="20"/>
    </w:rPr>
  </w:style>
  <w:style w:type="character" w:styleId="Forte">
    <w:name w:val="Strong"/>
    <w:uiPriority w:val="22"/>
    <w:qFormat/>
    <w:rsid w:val="00790498"/>
    <w:rPr>
      <w:b/>
      <w:bCs/>
    </w:rPr>
  </w:style>
  <w:style w:type="character" w:customStyle="1" w:styleId="WW-Caracteresdenotaderodap">
    <w:name w:val="WW-Caracteres de nota de rodapé"/>
    <w:rsid w:val="00790498"/>
    <w:rPr>
      <w:vertAlign w:val="superscript"/>
    </w:rPr>
  </w:style>
  <w:style w:type="character" w:customStyle="1" w:styleId="Refdenotaderodap1">
    <w:name w:val="Ref. de nota de rodapé1"/>
    <w:rsid w:val="00790498"/>
    <w:rPr>
      <w:vertAlign w:val="superscript"/>
    </w:rPr>
  </w:style>
  <w:style w:type="character" w:customStyle="1" w:styleId="Refdenotaderodap2">
    <w:name w:val="Ref. de nota de rodapé2"/>
    <w:rsid w:val="00790498"/>
    <w:rPr>
      <w:vertAlign w:val="superscript"/>
    </w:rPr>
  </w:style>
  <w:style w:type="character" w:customStyle="1" w:styleId="A6">
    <w:name w:val="A6"/>
    <w:rsid w:val="00790498"/>
    <w:rPr>
      <w:color w:val="000000"/>
      <w:sz w:val="16"/>
      <w:szCs w:val="16"/>
    </w:rPr>
  </w:style>
  <w:style w:type="character" w:customStyle="1" w:styleId="apple-converted-space">
    <w:name w:val="apple-converted-space"/>
    <w:basedOn w:val="Fontepargpadro1"/>
    <w:rsid w:val="00790498"/>
  </w:style>
  <w:style w:type="character" w:styleId="CdigoHTML">
    <w:name w:val="HTML Code"/>
    <w:rsid w:val="00790498"/>
    <w:rPr>
      <w:rFonts w:ascii="Courier New" w:eastAsia="Times New Roman" w:hAnsi="Courier New" w:cs="Courier New"/>
      <w:sz w:val="20"/>
      <w:szCs w:val="20"/>
    </w:rPr>
  </w:style>
  <w:style w:type="character" w:customStyle="1" w:styleId="spelle">
    <w:name w:val="spelle"/>
    <w:basedOn w:val="Fontepargpadro1"/>
    <w:rsid w:val="00790498"/>
  </w:style>
  <w:style w:type="character" w:customStyle="1" w:styleId="grame">
    <w:name w:val="grame"/>
    <w:basedOn w:val="Fontepargpadro1"/>
    <w:rsid w:val="00790498"/>
  </w:style>
  <w:style w:type="character" w:styleId="Refdenotaderodap">
    <w:name w:val="footnote reference"/>
    <w:rsid w:val="00790498"/>
    <w:rPr>
      <w:vertAlign w:val="superscript"/>
    </w:rPr>
  </w:style>
  <w:style w:type="character" w:customStyle="1" w:styleId="Marcas">
    <w:name w:val="Marcas"/>
    <w:rsid w:val="00790498"/>
    <w:rPr>
      <w:rFonts w:ascii="OpenSymbol" w:eastAsia="OpenSymbol" w:hAnsi="OpenSymbol" w:cs="OpenSymbol"/>
    </w:rPr>
  </w:style>
  <w:style w:type="character" w:styleId="Refdenotadefim">
    <w:name w:val="endnote reference"/>
    <w:rsid w:val="00790498"/>
    <w:rPr>
      <w:vertAlign w:val="superscript"/>
    </w:rPr>
  </w:style>
  <w:style w:type="character" w:customStyle="1" w:styleId="Caracteresdenotadefim">
    <w:name w:val="Caracteres de nota de fim"/>
    <w:rsid w:val="00790498"/>
  </w:style>
  <w:style w:type="paragraph" w:customStyle="1" w:styleId="Ttulo10">
    <w:name w:val="Título1"/>
    <w:basedOn w:val="Normal"/>
    <w:next w:val="Corpodetexto"/>
    <w:rsid w:val="00790498"/>
    <w:pPr>
      <w:keepNext/>
      <w:suppressAutoHyphens/>
      <w:spacing w:before="240" w:after="120" w:line="276" w:lineRule="auto"/>
      <w:ind w:firstLine="561"/>
      <w:jc w:val="both"/>
    </w:pPr>
    <w:rPr>
      <w:rFonts w:ascii="Liberation Sans" w:eastAsia="WenQuanYi Micro Hei" w:hAnsi="Liberation Sans" w:cs="Lohit Hindi"/>
      <w:kern w:val="0"/>
      <w:sz w:val="28"/>
      <w:szCs w:val="28"/>
      <w:lang w:eastAsia="zh-CN"/>
      <w14:ligatures w14:val="none"/>
    </w:rPr>
  </w:style>
  <w:style w:type="paragraph" w:styleId="Lista">
    <w:name w:val="List"/>
    <w:basedOn w:val="Corpodetexto"/>
    <w:rsid w:val="00790498"/>
    <w:pPr>
      <w:suppressAutoHyphens/>
      <w:spacing w:line="276" w:lineRule="auto"/>
      <w:ind w:firstLine="561"/>
    </w:pPr>
    <w:rPr>
      <w:rFonts w:ascii="Calibri" w:eastAsia="Calibri" w:hAnsi="Calibri" w:cs="Lohit Hindi"/>
      <w:kern w:val="0"/>
      <w:lang w:eastAsia="zh-CN"/>
      <w14:ligatures w14:val="none"/>
    </w:rPr>
  </w:style>
  <w:style w:type="paragraph" w:customStyle="1" w:styleId="ndice">
    <w:name w:val="Índice"/>
    <w:basedOn w:val="Normal"/>
    <w:rsid w:val="00790498"/>
    <w:pPr>
      <w:suppressLineNumbers/>
      <w:suppressAutoHyphens/>
      <w:spacing w:after="200" w:line="276" w:lineRule="auto"/>
      <w:ind w:firstLine="561"/>
      <w:jc w:val="both"/>
    </w:pPr>
    <w:rPr>
      <w:rFonts w:ascii="Calibri" w:eastAsia="Calibri" w:hAnsi="Calibri" w:cs="Lohit Hindi"/>
      <w:kern w:val="0"/>
      <w:lang w:eastAsia="zh-CN"/>
      <w14:ligatures w14:val="none"/>
    </w:rPr>
  </w:style>
  <w:style w:type="paragraph" w:styleId="Textodenotaderodap">
    <w:name w:val="footnote text"/>
    <w:basedOn w:val="Normal"/>
    <w:link w:val="TextodenotaderodapChar1"/>
    <w:rsid w:val="00790498"/>
    <w:pPr>
      <w:suppressAutoHyphens/>
      <w:spacing w:after="200" w:line="276" w:lineRule="auto"/>
      <w:ind w:firstLine="561"/>
      <w:jc w:val="both"/>
    </w:pPr>
    <w:rPr>
      <w:rFonts w:ascii="Calibri" w:eastAsia="Calibri" w:hAnsi="Calibri" w:cs="Times New Roman"/>
      <w:kern w:val="0"/>
      <w:sz w:val="20"/>
      <w:szCs w:val="20"/>
      <w:lang w:eastAsia="zh-CN"/>
      <w14:ligatures w14:val="none"/>
    </w:rPr>
  </w:style>
  <w:style w:type="character" w:customStyle="1" w:styleId="TextodenotaderodapChar1">
    <w:name w:val="Texto de nota de rodapé Char1"/>
    <w:basedOn w:val="Fontepargpadro"/>
    <w:link w:val="Textodenotaderodap"/>
    <w:rsid w:val="00790498"/>
    <w:rPr>
      <w:rFonts w:ascii="Calibri" w:eastAsia="Calibri" w:hAnsi="Calibri" w:cs="Times New Roman"/>
      <w:kern w:val="0"/>
      <w:sz w:val="20"/>
      <w:szCs w:val="20"/>
      <w:lang w:eastAsia="zh-CN"/>
      <w14:ligatures w14:val="none"/>
    </w:rPr>
  </w:style>
  <w:style w:type="paragraph" w:customStyle="1" w:styleId="Normal2">
    <w:name w:val="Normal2"/>
    <w:rsid w:val="00790498"/>
    <w:pPr>
      <w:suppressAutoHyphens/>
      <w:autoSpaceDE w:val="0"/>
      <w:spacing w:after="0" w:line="240" w:lineRule="auto"/>
    </w:pPr>
    <w:rPr>
      <w:rFonts w:ascii="Times New Roman" w:eastAsia="Calibri" w:hAnsi="Times New Roman" w:cs="Times New Roman"/>
      <w:color w:val="000000"/>
      <w:kern w:val="0"/>
      <w:sz w:val="24"/>
      <w:szCs w:val="24"/>
      <w:lang w:eastAsia="zh-CN"/>
      <w14:ligatures w14:val="none"/>
    </w:rPr>
  </w:style>
  <w:style w:type="paragraph" w:customStyle="1" w:styleId="Normal1">
    <w:name w:val="Normal1"/>
    <w:rsid w:val="00790498"/>
    <w:pPr>
      <w:suppressAutoHyphens/>
      <w:autoSpaceDE w:val="0"/>
      <w:spacing w:after="0" w:line="240" w:lineRule="auto"/>
    </w:pPr>
    <w:rPr>
      <w:rFonts w:ascii="Arial" w:eastAsia="Times New Roman" w:hAnsi="Arial" w:cs="Arial"/>
      <w:color w:val="000000"/>
      <w:kern w:val="0"/>
      <w:sz w:val="24"/>
      <w:szCs w:val="24"/>
      <w:lang w:eastAsia="zh-CN"/>
      <w14:ligatures w14:val="none"/>
    </w:rPr>
  </w:style>
  <w:style w:type="paragraph" w:customStyle="1" w:styleId="Pa4">
    <w:name w:val="Pa4"/>
    <w:basedOn w:val="Normal1"/>
    <w:next w:val="Normal1"/>
    <w:rsid w:val="00790498"/>
    <w:pPr>
      <w:spacing w:line="221" w:lineRule="atLeast"/>
    </w:pPr>
    <w:rPr>
      <w:color w:val="auto"/>
    </w:rPr>
  </w:style>
  <w:style w:type="paragraph" w:customStyle="1" w:styleId="printall">
    <w:name w:val="printall"/>
    <w:basedOn w:val="Normal"/>
    <w:rsid w:val="00790498"/>
    <w:pPr>
      <w:suppressAutoHyphens/>
      <w:spacing w:before="280" w:after="280" w:line="360" w:lineRule="auto"/>
      <w:ind w:left="225" w:right="300" w:firstLine="561"/>
      <w:jc w:val="both"/>
    </w:pPr>
    <w:rPr>
      <w:rFonts w:ascii="Verdana" w:eastAsia="Times New Roman" w:hAnsi="Verdana" w:cs="Verdana"/>
      <w:color w:val="000000"/>
      <w:kern w:val="0"/>
      <w:sz w:val="17"/>
      <w:szCs w:val="17"/>
      <w:lang w:eastAsia="zh-CN"/>
      <w14:ligatures w14:val="none"/>
    </w:rPr>
  </w:style>
  <w:style w:type="paragraph" w:customStyle="1" w:styleId="Contedodatabela">
    <w:name w:val="Conteúdo da tabela"/>
    <w:basedOn w:val="Normal"/>
    <w:rsid w:val="00790498"/>
    <w:pPr>
      <w:suppressLineNumbers/>
      <w:suppressAutoHyphens/>
      <w:spacing w:after="200" w:line="276" w:lineRule="auto"/>
      <w:ind w:firstLine="561"/>
      <w:jc w:val="both"/>
    </w:pPr>
    <w:rPr>
      <w:rFonts w:ascii="Calibri" w:eastAsia="Calibri" w:hAnsi="Calibri" w:cs="Times New Roman"/>
      <w:kern w:val="0"/>
      <w:lang w:eastAsia="zh-CN"/>
      <w14:ligatures w14:val="none"/>
    </w:rPr>
  </w:style>
  <w:style w:type="paragraph" w:customStyle="1" w:styleId="Ttulodetabela">
    <w:name w:val="Título de tabela"/>
    <w:basedOn w:val="Contedodatabela"/>
    <w:rsid w:val="00790498"/>
    <w:pPr>
      <w:jc w:val="center"/>
    </w:pPr>
    <w:rPr>
      <w:b/>
      <w:bCs/>
    </w:rPr>
  </w:style>
  <w:style w:type="table" w:customStyle="1" w:styleId="SombreamentoClaro1">
    <w:name w:val="Sombreamento Claro1"/>
    <w:basedOn w:val="Tabelanormal"/>
    <w:uiPriority w:val="60"/>
    <w:rsid w:val="00790498"/>
    <w:pPr>
      <w:spacing w:after="0" w:line="240" w:lineRule="auto"/>
    </w:pPr>
    <w:rPr>
      <w:rFonts w:ascii="Calibri" w:eastAsia="Calibri" w:hAnsi="Calibri" w:cs="Times New Roman"/>
      <w:color w:val="000000"/>
      <w:kern w:val="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WW8Num1z0">
    <w:name w:val="WW8Num1z0"/>
    <w:rsid w:val="00790498"/>
    <w:rPr>
      <w:rFonts w:ascii="Symbol" w:hAnsi="Symbol" w:cs="Symbol"/>
      <w:sz w:val="20"/>
    </w:rPr>
  </w:style>
  <w:style w:type="character" w:customStyle="1" w:styleId="WW8Num1z2">
    <w:name w:val="WW8Num1z2"/>
    <w:rsid w:val="00790498"/>
    <w:rPr>
      <w:rFonts w:ascii="Wingdings" w:hAnsi="Wingdings" w:cs="Wingdings"/>
      <w:sz w:val="20"/>
    </w:rPr>
  </w:style>
  <w:style w:type="character" w:styleId="nfase">
    <w:name w:val="Emphasis"/>
    <w:uiPriority w:val="20"/>
    <w:qFormat/>
    <w:rsid w:val="00790498"/>
    <w:rPr>
      <w:i/>
      <w:iCs/>
    </w:rPr>
  </w:style>
  <w:style w:type="paragraph" w:styleId="SemEspaamento">
    <w:name w:val="No Spacing"/>
    <w:aliases w:val="Capa1"/>
    <w:basedOn w:val="Normal"/>
    <w:link w:val="SemEspaamentoChar"/>
    <w:uiPriority w:val="1"/>
    <w:qFormat/>
    <w:rsid w:val="00790498"/>
    <w:pPr>
      <w:spacing w:after="0" w:line="360" w:lineRule="auto"/>
      <w:ind w:firstLine="561"/>
      <w:jc w:val="center"/>
    </w:pPr>
    <w:rPr>
      <w:rFonts w:ascii="Arial" w:eastAsia="Times New Roman" w:hAnsi="Arial" w:cs="Times New Roman"/>
      <w:b/>
      <w:bCs/>
      <w:kern w:val="0"/>
      <w:sz w:val="24"/>
      <w:szCs w:val="20"/>
      <w:lang w:eastAsia="zh-CN"/>
      <w14:ligatures w14:val="none"/>
    </w:rPr>
  </w:style>
  <w:style w:type="character" w:customStyle="1" w:styleId="tlid-translation">
    <w:name w:val="tlid-translation"/>
    <w:basedOn w:val="Fontepargpadro"/>
    <w:rsid w:val="00790498"/>
  </w:style>
  <w:style w:type="paragraph" w:customStyle="1" w:styleId="Estilo1">
    <w:name w:val="Estilo1"/>
    <w:basedOn w:val="Normal"/>
    <w:autoRedefine/>
    <w:qFormat/>
    <w:rsid w:val="00790498"/>
    <w:pPr>
      <w:spacing w:after="0" w:line="360" w:lineRule="auto"/>
      <w:ind w:firstLine="561"/>
      <w:jc w:val="both"/>
    </w:pPr>
    <w:rPr>
      <w:rFonts w:ascii="Arial" w:eastAsia="Times New Roman" w:hAnsi="Arial" w:cs="Arial"/>
      <w:b/>
      <w:kern w:val="0"/>
      <w:sz w:val="24"/>
      <w:szCs w:val="20"/>
      <w:lang w:eastAsia="zh-CN"/>
      <w14:ligatures w14:val="none"/>
    </w:rPr>
  </w:style>
  <w:style w:type="paragraph" w:styleId="Sumrio4">
    <w:name w:val="toc 4"/>
    <w:basedOn w:val="Normal"/>
    <w:next w:val="Normal"/>
    <w:autoRedefine/>
    <w:semiHidden/>
    <w:unhideWhenUsed/>
    <w:rsid w:val="00790498"/>
    <w:pPr>
      <w:spacing w:after="120" w:line="360" w:lineRule="auto"/>
      <w:ind w:left="720" w:firstLine="561"/>
      <w:jc w:val="both"/>
    </w:pPr>
    <w:rPr>
      <w:rFonts w:ascii="Arial" w:eastAsia="Times New Roman" w:hAnsi="Arial" w:cs="Times New Roman"/>
      <w:kern w:val="0"/>
      <w:sz w:val="24"/>
      <w:szCs w:val="20"/>
      <w:lang w:eastAsia="zh-CN"/>
      <w14:ligatures w14:val="none"/>
    </w:rPr>
  </w:style>
  <w:style w:type="paragraph" w:customStyle="1" w:styleId="Estilo2">
    <w:name w:val="Estilo2"/>
    <w:basedOn w:val="Legenda"/>
    <w:qFormat/>
    <w:rsid w:val="00790498"/>
    <w:rPr>
      <w:b/>
    </w:rPr>
  </w:style>
  <w:style w:type="table" w:styleId="Tabelacomgrade">
    <w:name w:val="Table Grid"/>
    <w:basedOn w:val="Tabelanormal"/>
    <w:uiPriority w:val="59"/>
    <w:rsid w:val="00790498"/>
    <w:pPr>
      <w:spacing w:after="0" w:line="240" w:lineRule="auto"/>
    </w:pPr>
    <w:rPr>
      <w:rFonts w:ascii="Times New Roman" w:eastAsia="Times New Roma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790498"/>
    <w:rPr>
      <w:color w:val="605E5C"/>
      <w:shd w:val="clear" w:color="auto" w:fill="E1DFDD"/>
    </w:rPr>
  </w:style>
  <w:style w:type="paragraph" w:styleId="ndicedeilustraes">
    <w:name w:val="table of figures"/>
    <w:basedOn w:val="Normal"/>
    <w:next w:val="Normal"/>
    <w:uiPriority w:val="99"/>
    <w:unhideWhenUsed/>
    <w:rsid w:val="00790498"/>
    <w:pPr>
      <w:spacing w:after="0" w:line="360" w:lineRule="auto"/>
      <w:ind w:firstLine="561"/>
      <w:jc w:val="both"/>
    </w:pPr>
    <w:rPr>
      <w:rFonts w:ascii="Arial" w:eastAsia="Times New Roman" w:hAnsi="Arial" w:cs="Times New Roman"/>
      <w:kern w:val="0"/>
      <w:sz w:val="24"/>
      <w:szCs w:val="20"/>
      <w:lang w:eastAsia="zh-CN"/>
      <w14:ligatures w14:val="none"/>
    </w:rPr>
  </w:style>
  <w:style w:type="paragraph" w:customStyle="1" w:styleId="Estilo3">
    <w:name w:val="Estilo3"/>
    <w:basedOn w:val="Sumrio3"/>
    <w:link w:val="Estilo3Char"/>
    <w:qFormat/>
    <w:rsid w:val="00790498"/>
    <w:pPr>
      <w:outlineLvl w:val="2"/>
    </w:pPr>
  </w:style>
  <w:style w:type="character" w:customStyle="1" w:styleId="Sumrio3Char">
    <w:name w:val="Sumário 3 Char"/>
    <w:aliases w:val="Estilo 3 Char"/>
    <w:basedOn w:val="Fontepargpadro"/>
    <w:link w:val="Sumrio3"/>
    <w:uiPriority w:val="39"/>
    <w:rsid w:val="00790498"/>
    <w:rPr>
      <w:rFonts w:ascii="Arial" w:eastAsiaTheme="minorEastAsia" w:hAnsi="Arial"/>
      <w:noProof/>
      <w:kern w:val="0"/>
      <w:sz w:val="24"/>
      <w14:ligatures w14:val="none"/>
    </w:rPr>
  </w:style>
  <w:style w:type="character" w:customStyle="1" w:styleId="Estilo3Char">
    <w:name w:val="Estilo3 Char"/>
    <w:basedOn w:val="Sumrio3Char"/>
    <w:link w:val="Estilo3"/>
    <w:rsid w:val="00790498"/>
    <w:rPr>
      <w:rFonts w:ascii="Arial" w:eastAsiaTheme="minorEastAsia" w:hAnsi="Arial"/>
      <w:noProof/>
      <w:kern w:val="0"/>
      <w:sz w:val="24"/>
      <w14:ligatures w14:val="none"/>
    </w:rPr>
  </w:style>
  <w:style w:type="character" w:customStyle="1" w:styleId="ugb-highlight">
    <w:name w:val="ugb-highlight"/>
    <w:basedOn w:val="Fontepargpadro"/>
    <w:rsid w:val="00790498"/>
  </w:style>
  <w:style w:type="paragraph" w:customStyle="1" w:styleId="MDPI31text">
    <w:name w:val="MDPI_3.1_text"/>
    <w:basedOn w:val="Normal"/>
    <w:qFormat/>
    <w:rsid w:val="00790498"/>
    <w:pPr>
      <w:spacing w:after="0" w:line="260" w:lineRule="atLeast"/>
      <w:ind w:firstLine="425"/>
      <w:jc w:val="both"/>
    </w:pPr>
    <w:rPr>
      <w:rFonts w:ascii="Palatino Linotype" w:eastAsia="Times New Roman" w:hAnsi="Palatino Linotype" w:cs="Times New Roman"/>
      <w:color w:val="000000" w:themeColor="text1"/>
      <w:kern w:val="0"/>
      <w:sz w:val="24"/>
      <w:szCs w:val="20"/>
      <w:lang w:eastAsia="de-DE" w:bidi="en-US"/>
      <w14:ligatures w14:val="none"/>
    </w:rPr>
  </w:style>
  <w:style w:type="character" w:styleId="TextodoEspaoReservado">
    <w:name w:val="Placeholder Text"/>
    <w:basedOn w:val="Fontepargpadro"/>
    <w:uiPriority w:val="99"/>
    <w:semiHidden/>
    <w:rsid w:val="00790498"/>
    <w:rPr>
      <w:color w:val="808080"/>
    </w:rPr>
  </w:style>
  <w:style w:type="character" w:customStyle="1" w:styleId="SemEspaamentoChar">
    <w:name w:val="Sem Espaçamento Char"/>
    <w:aliases w:val="Capa1 Char"/>
    <w:basedOn w:val="Fontepargpadro"/>
    <w:link w:val="SemEspaamento"/>
    <w:uiPriority w:val="1"/>
    <w:rsid w:val="00790498"/>
    <w:rPr>
      <w:rFonts w:ascii="Arial" w:eastAsia="Times New Roman" w:hAnsi="Arial" w:cs="Times New Roman"/>
      <w:b/>
      <w:bCs/>
      <w:kern w:val="0"/>
      <w:sz w:val="24"/>
      <w:szCs w:val="20"/>
      <w:lang w:eastAsia="zh-CN"/>
      <w14:ligatures w14:val="none"/>
    </w:rPr>
  </w:style>
  <w:style w:type="character" w:styleId="nfaseSutil">
    <w:name w:val="Subtle Emphasis"/>
    <w:aliases w:val="Capa2"/>
    <w:uiPriority w:val="19"/>
    <w:qFormat/>
    <w:rsid w:val="00790498"/>
    <w:rPr>
      <w:szCs w:val="18"/>
    </w:rPr>
  </w:style>
  <w:style w:type="paragraph" w:customStyle="1" w:styleId="paragraph">
    <w:name w:val="paragraph"/>
    <w:basedOn w:val="Normal"/>
    <w:rsid w:val="00790498"/>
    <w:pPr>
      <w:spacing w:before="100" w:beforeAutospacing="1" w:after="100" w:afterAutospacing="1" w:line="360" w:lineRule="auto"/>
      <w:ind w:firstLine="561"/>
      <w:jc w:val="both"/>
    </w:pPr>
    <w:rPr>
      <w:rFonts w:ascii="Times New Roman" w:eastAsia="Times New Roman" w:hAnsi="Times New Roman" w:cs="Times New Roman"/>
      <w:kern w:val="0"/>
      <w:sz w:val="24"/>
      <w:szCs w:val="24"/>
      <w14:ligatures w14:val="none"/>
    </w:rPr>
  </w:style>
  <w:style w:type="character" w:customStyle="1" w:styleId="normaltextrun">
    <w:name w:val="normaltextrun"/>
    <w:basedOn w:val="Fontepargpadro"/>
    <w:rsid w:val="00790498"/>
  </w:style>
  <w:style w:type="character" w:customStyle="1" w:styleId="eop">
    <w:name w:val="eop"/>
    <w:basedOn w:val="Fontepargpadro"/>
    <w:rsid w:val="00790498"/>
  </w:style>
  <w:style w:type="character" w:customStyle="1" w:styleId="spellingerror">
    <w:name w:val="spellingerror"/>
    <w:basedOn w:val="Fontepargpadro"/>
    <w:rsid w:val="00790498"/>
  </w:style>
  <w:style w:type="paragraph" w:styleId="Pr-formataoHTML">
    <w:name w:val="HTML Preformatted"/>
    <w:basedOn w:val="Normal"/>
    <w:link w:val="Pr-formataoHTMLChar"/>
    <w:uiPriority w:val="99"/>
    <w:semiHidden/>
    <w:unhideWhenUsed/>
    <w:rsid w:val="00790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1"/>
      <w:jc w:val="both"/>
    </w:pPr>
    <w:rPr>
      <w:rFonts w:ascii="Courier New" w:eastAsia="Times New Roman" w:hAnsi="Courier New" w:cs="Courier New"/>
      <w:kern w:val="0"/>
      <w:sz w:val="20"/>
      <w:szCs w:val="20"/>
      <w:lang w:eastAsia="zh-CN"/>
      <w14:ligatures w14:val="none"/>
    </w:rPr>
  </w:style>
  <w:style w:type="character" w:customStyle="1" w:styleId="Pr-formataoHTMLChar">
    <w:name w:val="Pré-formatação HTML Char"/>
    <w:basedOn w:val="Fontepargpadro"/>
    <w:link w:val="Pr-formataoHTML"/>
    <w:uiPriority w:val="99"/>
    <w:semiHidden/>
    <w:rsid w:val="00790498"/>
    <w:rPr>
      <w:rFonts w:ascii="Courier New" w:eastAsia="Times New Roman" w:hAnsi="Courier New" w:cs="Courier New"/>
      <w:kern w:val="0"/>
      <w:sz w:val="20"/>
      <w:szCs w:val="20"/>
      <w:lang w:eastAsia="zh-CN"/>
      <w14:ligatures w14:val="none"/>
    </w:rPr>
  </w:style>
  <w:style w:type="character" w:styleId="Refdecomentrio">
    <w:name w:val="annotation reference"/>
    <w:basedOn w:val="Fontepargpadro"/>
    <w:semiHidden/>
    <w:unhideWhenUsed/>
    <w:rsid w:val="00790498"/>
    <w:rPr>
      <w:sz w:val="16"/>
      <w:szCs w:val="16"/>
    </w:rPr>
  </w:style>
  <w:style w:type="paragraph" w:styleId="Textodecomentrio">
    <w:name w:val="annotation text"/>
    <w:basedOn w:val="Normal"/>
    <w:link w:val="TextodecomentrioChar"/>
    <w:unhideWhenUsed/>
    <w:rsid w:val="00790498"/>
    <w:pPr>
      <w:spacing w:after="0" w:line="360" w:lineRule="auto"/>
      <w:ind w:firstLine="561"/>
      <w:jc w:val="both"/>
    </w:pPr>
    <w:rPr>
      <w:rFonts w:ascii="Arial" w:eastAsia="Times New Roman" w:hAnsi="Arial" w:cs="Times New Roman"/>
      <w:kern w:val="0"/>
      <w:sz w:val="20"/>
      <w:szCs w:val="20"/>
      <w:lang w:eastAsia="zh-CN"/>
      <w14:ligatures w14:val="none"/>
    </w:rPr>
  </w:style>
  <w:style w:type="character" w:customStyle="1" w:styleId="TextodecomentrioChar">
    <w:name w:val="Texto de comentário Char"/>
    <w:basedOn w:val="Fontepargpadro"/>
    <w:link w:val="Textodecomentrio"/>
    <w:rsid w:val="00790498"/>
    <w:rPr>
      <w:rFonts w:ascii="Arial" w:eastAsia="Times New Roman" w:hAnsi="Arial" w:cs="Times New Roman"/>
      <w:kern w:val="0"/>
      <w:sz w:val="20"/>
      <w:szCs w:val="20"/>
      <w:lang w:eastAsia="zh-CN"/>
      <w14:ligatures w14:val="none"/>
    </w:rPr>
  </w:style>
  <w:style w:type="paragraph" w:styleId="Assuntodocomentrio">
    <w:name w:val="annotation subject"/>
    <w:basedOn w:val="Textodecomentrio"/>
    <w:next w:val="Textodecomentrio"/>
    <w:link w:val="AssuntodocomentrioChar"/>
    <w:semiHidden/>
    <w:unhideWhenUsed/>
    <w:rsid w:val="00790498"/>
    <w:rPr>
      <w:b/>
      <w:bCs/>
    </w:rPr>
  </w:style>
  <w:style w:type="character" w:customStyle="1" w:styleId="AssuntodocomentrioChar">
    <w:name w:val="Assunto do comentário Char"/>
    <w:basedOn w:val="TextodecomentrioChar"/>
    <w:link w:val="Assuntodocomentrio"/>
    <w:semiHidden/>
    <w:rsid w:val="00790498"/>
    <w:rPr>
      <w:rFonts w:ascii="Arial" w:eastAsia="Times New Roman" w:hAnsi="Arial" w:cs="Times New Roman"/>
      <w:b/>
      <w:bCs/>
      <w:kern w:val="0"/>
      <w:sz w:val="20"/>
      <w:szCs w:val="20"/>
      <w:lang w:eastAsia="zh-CN"/>
      <w14:ligatures w14:val="none"/>
    </w:rPr>
  </w:style>
  <w:style w:type="paragraph" w:styleId="Reviso">
    <w:name w:val="Revision"/>
    <w:hidden/>
    <w:uiPriority w:val="99"/>
    <w:semiHidden/>
    <w:rsid w:val="00790498"/>
    <w:pPr>
      <w:spacing w:after="0" w:line="240" w:lineRule="auto"/>
    </w:pPr>
    <w:rPr>
      <w:rFonts w:ascii="Arial" w:eastAsia="Times New Roman" w:hAnsi="Arial" w:cs="Times New Roman"/>
      <w:kern w:val="0"/>
      <w:sz w:val="24"/>
      <w:szCs w:val="20"/>
      <w:lang w:val="en-US" w:eastAsia="pt-BR"/>
      <w14:ligatures w14:val="none"/>
    </w:rPr>
  </w:style>
  <w:style w:type="character" w:customStyle="1" w:styleId="hscoswrapper">
    <w:name w:val="hs_cos_wrapper"/>
    <w:basedOn w:val="Fontepargpadro"/>
    <w:rsid w:val="00790498"/>
  </w:style>
  <w:style w:type="character" w:styleId="HiperlinkVisitado">
    <w:name w:val="FollowedHyperlink"/>
    <w:basedOn w:val="Fontepargpadro"/>
    <w:semiHidden/>
    <w:unhideWhenUsed/>
    <w:rsid w:val="00790498"/>
    <w:rPr>
      <w:color w:val="96607D" w:themeColor="followedHyperlink"/>
      <w:u w:val="single"/>
    </w:rPr>
  </w:style>
  <w:style w:type="paragraph" w:customStyle="1" w:styleId="EstiloPrTextual">
    <w:name w:val="Estilo Pré Textual"/>
    <w:basedOn w:val="Normal"/>
    <w:link w:val="EstiloPrTextualChar"/>
    <w:qFormat/>
    <w:rsid w:val="00790498"/>
    <w:pPr>
      <w:tabs>
        <w:tab w:val="left" w:pos="851"/>
      </w:tabs>
      <w:spacing w:after="360" w:line="360" w:lineRule="auto"/>
      <w:ind w:firstLine="561"/>
      <w:jc w:val="center"/>
    </w:pPr>
    <w:rPr>
      <w:rFonts w:ascii="Arial" w:eastAsia="Times New Roman" w:hAnsi="Arial" w:cs="Arial"/>
      <w:b/>
      <w:bCs/>
      <w:kern w:val="0"/>
      <w:sz w:val="24"/>
      <w:szCs w:val="20"/>
      <w:lang w:eastAsia="zh-CN"/>
      <w14:ligatures w14:val="none"/>
    </w:rPr>
  </w:style>
  <w:style w:type="character" w:customStyle="1" w:styleId="EstiloPrTextualChar">
    <w:name w:val="Estilo Pré Textual Char"/>
    <w:basedOn w:val="Fontepargpadro"/>
    <w:link w:val="EstiloPrTextual"/>
    <w:rsid w:val="00790498"/>
    <w:rPr>
      <w:rFonts w:ascii="Arial" w:eastAsia="Times New Roman" w:hAnsi="Arial" w:cs="Arial"/>
      <w:b/>
      <w:bCs/>
      <w:kern w:val="0"/>
      <w:sz w:val="24"/>
      <w:szCs w:val="20"/>
      <w:lang w:eastAsia="zh-CN"/>
      <w14:ligatures w14:val="none"/>
    </w:rPr>
  </w:style>
  <w:style w:type="character" w:customStyle="1" w:styleId="sw">
    <w:name w:val="sw"/>
    <w:basedOn w:val="Fontepargpadro"/>
    <w:rsid w:val="00790498"/>
  </w:style>
  <w:style w:type="character" w:customStyle="1" w:styleId="error">
    <w:name w:val="error"/>
    <w:basedOn w:val="Fontepargpadro"/>
    <w:rsid w:val="00790498"/>
  </w:style>
  <w:style w:type="paragraph" w:styleId="Bibliografia">
    <w:name w:val="Bibliography"/>
    <w:basedOn w:val="Normal"/>
    <w:next w:val="Normal"/>
    <w:uiPriority w:val="37"/>
    <w:unhideWhenUsed/>
    <w:rsid w:val="00790498"/>
    <w:pPr>
      <w:spacing w:after="240" w:line="240" w:lineRule="auto"/>
      <w:jc w:val="both"/>
    </w:pPr>
    <w:rPr>
      <w:rFonts w:ascii="Arial" w:eastAsia="Times New Roman" w:hAnsi="Arial" w:cs="Times New Roman"/>
      <w:kern w:val="0"/>
      <w:sz w:val="24"/>
      <w:szCs w:val="20"/>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1636808">
      <w:bodyDiv w:val="1"/>
      <w:marLeft w:val="0"/>
      <w:marRight w:val="0"/>
      <w:marTop w:val="0"/>
      <w:marBottom w:val="0"/>
      <w:divBdr>
        <w:top w:val="none" w:sz="0" w:space="0" w:color="auto"/>
        <w:left w:val="none" w:sz="0" w:space="0" w:color="auto"/>
        <w:bottom w:val="none" w:sz="0" w:space="0" w:color="auto"/>
        <w:right w:val="none" w:sz="0" w:space="0" w:color="auto"/>
      </w:divBdr>
    </w:div>
    <w:div w:id="1098527039">
      <w:bodyDiv w:val="1"/>
      <w:marLeft w:val="0"/>
      <w:marRight w:val="0"/>
      <w:marTop w:val="0"/>
      <w:marBottom w:val="0"/>
      <w:divBdr>
        <w:top w:val="none" w:sz="0" w:space="0" w:color="auto"/>
        <w:left w:val="none" w:sz="0" w:space="0" w:color="auto"/>
        <w:bottom w:val="none" w:sz="0" w:space="0" w:color="auto"/>
        <w:right w:val="none" w:sz="0" w:space="0" w:color="auto"/>
      </w:divBdr>
    </w:div>
    <w:div w:id="1336567973">
      <w:bodyDiv w:val="1"/>
      <w:marLeft w:val="0"/>
      <w:marRight w:val="0"/>
      <w:marTop w:val="0"/>
      <w:marBottom w:val="0"/>
      <w:divBdr>
        <w:top w:val="none" w:sz="0" w:space="0" w:color="auto"/>
        <w:left w:val="none" w:sz="0" w:space="0" w:color="auto"/>
        <w:bottom w:val="none" w:sz="0" w:space="0" w:color="auto"/>
        <w:right w:val="none" w:sz="0" w:space="0" w:color="auto"/>
      </w:divBdr>
    </w:div>
    <w:div w:id="1694186209">
      <w:bodyDiv w:val="1"/>
      <w:marLeft w:val="0"/>
      <w:marRight w:val="0"/>
      <w:marTop w:val="0"/>
      <w:marBottom w:val="0"/>
      <w:divBdr>
        <w:top w:val="none" w:sz="0" w:space="0" w:color="auto"/>
        <w:left w:val="none" w:sz="0" w:space="0" w:color="auto"/>
        <w:bottom w:val="none" w:sz="0" w:space="0" w:color="auto"/>
        <w:right w:val="none" w:sz="0" w:space="0" w:color="auto"/>
      </w:divBdr>
    </w:div>
    <w:div w:id="1840192279">
      <w:bodyDiv w:val="1"/>
      <w:marLeft w:val="0"/>
      <w:marRight w:val="0"/>
      <w:marTop w:val="0"/>
      <w:marBottom w:val="0"/>
      <w:divBdr>
        <w:top w:val="none" w:sz="0" w:space="0" w:color="auto"/>
        <w:left w:val="none" w:sz="0" w:space="0" w:color="auto"/>
        <w:bottom w:val="none" w:sz="0" w:space="0" w:color="auto"/>
        <w:right w:val="none" w:sz="0" w:space="0" w:color="auto"/>
      </w:divBdr>
    </w:div>
    <w:div w:id="2110850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snirh.gov.br/" TargetMode="External"/><Relationship Id="rId3" Type="http://schemas.openxmlformats.org/officeDocument/2006/relationships/settings" Target="settings.xml"/><Relationship Id="rId21" Type="http://schemas.openxmlformats.org/officeDocument/2006/relationships/hyperlink" Target="http://www.dpi.inpe.br/Ambdata/English/soil_map.php"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atlasirrigacao.ana.gov.b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ciencedirect.com/science/article/pii/S0168192318300013" TargetMode="External"/><Relationship Id="rId20" Type="http://schemas.openxmlformats.org/officeDocument/2006/relationships/hyperlink" Target="http://comexstat.mdic.gov.br/pt/hom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glossaryDocument" Target="glossary/document.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s://www.embrapa.br/busca-de-noticias/-/noticia/30972444/lavouras-sao-apenas-76-do-brasil-segundo-a-nasa"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www.locus.ufv.br/handle/123456789/27342"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5DABB59FF8C44E1BF6DC0D65DE7DC83"/>
        <w:category>
          <w:name w:val="Geral"/>
          <w:gallery w:val="placeholder"/>
        </w:category>
        <w:types>
          <w:type w:val="bbPlcHdr"/>
        </w:types>
        <w:behaviors>
          <w:behavior w:val="content"/>
        </w:behaviors>
        <w:guid w:val="{5408FA5B-BF14-4F0A-9D0B-FDF6C14CEE4D}"/>
      </w:docPartPr>
      <w:docPartBody>
        <w:p w:rsidR="000C1B83" w:rsidRDefault="000C1B83" w:rsidP="000C1B83">
          <w:pPr>
            <w:pStyle w:val="65DABB59FF8C44E1BF6DC0D65DE7DC83"/>
          </w:pPr>
          <w:r w:rsidRPr="002C62D0">
            <w:rPr>
              <w:rStyle w:val="TextodoEspaoReservado"/>
            </w:rPr>
            <w:t>Clique ou toque aqui para inserir o texto.</w:t>
          </w:r>
        </w:p>
      </w:docPartBody>
    </w:docPart>
    <w:docPart>
      <w:docPartPr>
        <w:name w:val="F3C03730EB2045C98AA612E8250D4C3F"/>
        <w:category>
          <w:name w:val="Geral"/>
          <w:gallery w:val="placeholder"/>
        </w:category>
        <w:types>
          <w:type w:val="bbPlcHdr"/>
        </w:types>
        <w:behaviors>
          <w:behavior w:val="content"/>
        </w:behaviors>
        <w:guid w:val="{71613712-858B-43CC-BD04-3D8552283270}"/>
      </w:docPartPr>
      <w:docPartBody>
        <w:p w:rsidR="000C1B83" w:rsidRDefault="000C1B83" w:rsidP="000C1B83">
          <w:pPr>
            <w:pStyle w:val="F3C03730EB2045C98AA612E8250D4C3F"/>
          </w:pPr>
          <w:r w:rsidRPr="002C62D0">
            <w:rPr>
              <w:rStyle w:val="TextodoEspaoReservado"/>
            </w:rPr>
            <w:t>Clique ou toque aqui para inserir o texto.</w:t>
          </w:r>
        </w:p>
      </w:docPartBody>
    </w:docPart>
    <w:docPart>
      <w:docPartPr>
        <w:name w:val="8F9223336F7545A3A3B5B8B8DB88377F"/>
        <w:category>
          <w:name w:val="Geral"/>
          <w:gallery w:val="placeholder"/>
        </w:category>
        <w:types>
          <w:type w:val="bbPlcHdr"/>
        </w:types>
        <w:behaviors>
          <w:behavior w:val="content"/>
        </w:behaviors>
        <w:guid w:val="{367B5F81-58F3-4938-B6E3-94D03B43F0DE}"/>
      </w:docPartPr>
      <w:docPartBody>
        <w:p w:rsidR="000C1B83" w:rsidRDefault="000C1B83" w:rsidP="000C1B83">
          <w:pPr>
            <w:pStyle w:val="8F9223336F7545A3A3B5B8B8DB88377F"/>
          </w:pPr>
          <w:r w:rsidRPr="002C62D0">
            <w:rPr>
              <w:rStyle w:val="TextodoEspaoReservado"/>
            </w:rPr>
            <w:t>Clique ou toque aqui para inserir o texto.</w:t>
          </w:r>
        </w:p>
      </w:docPartBody>
    </w:docPart>
    <w:docPart>
      <w:docPartPr>
        <w:name w:val="421FF9D33C1F4D6B81F98981CBF5EE01"/>
        <w:category>
          <w:name w:val="Geral"/>
          <w:gallery w:val="placeholder"/>
        </w:category>
        <w:types>
          <w:type w:val="bbPlcHdr"/>
        </w:types>
        <w:behaviors>
          <w:behavior w:val="content"/>
        </w:behaviors>
        <w:guid w:val="{AC3CDF10-EFAB-4D07-B1E5-D23EB8B5D03F}"/>
      </w:docPartPr>
      <w:docPartBody>
        <w:p w:rsidR="000C1B83" w:rsidRDefault="000C1B83" w:rsidP="000C1B83">
          <w:pPr>
            <w:pStyle w:val="421FF9D33C1F4D6B81F98981CBF5EE01"/>
          </w:pPr>
          <w:r w:rsidRPr="002C62D0">
            <w:rPr>
              <w:rStyle w:val="TextodoEspaoReservado"/>
            </w:rPr>
            <w:t>Clique ou toque aqui para inserir o texto.</w:t>
          </w:r>
        </w:p>
      </w:docPartBody>
    </w:docPart>
    <w:docPart>
      <w:docPartPr>
        <w:name w:val="62F83DCD0AF64FC2919A10F72D3826D2"/>
        <w:category>
          <w:name w:val="Geral"/>
          <w:gallery w:val="placeholder"/>
        </w:category>
        <w:types>
          <w:type w:val="bbPlcHdr"/>
        </w:types>
        <w:behaviors>
          <w:behavior w:val="content"/>
        </w:behaviors>
        <w:guid w:val="{4C9E0CD3-3DA3-4030-985C-50BFED81F1B6}"/>
      </w:docPartPr>
      <w:docPartBody>
        <w:p w:rsidR="000C1B83" w:rsidRDefault="000C1B83" w:rsidP="000C1B83">
          <w:pPr>
            <w:pStyle w:val="62F83DCD0AF64FC2919A10F72D3826D2"/>
          </w:pPr>
          <w:r w:rsidRPr="002C62D0">
            <w:rPr>
              <w:rStyle w:val="TextodoEspaoReservado"/>
            </w:rPr>
            <w:t>Clique ou toque aqui para inserir o texto.</w:t>
          </w:r>
        </w:p>
      </w:docPartBody>
    </w:docPart>
    <w:docPart>
      <w:docPartPr>
        <w:name w:val="F527390EAF89467E8D26A5C103F14657"/>
        <w:category>
          <w:name w:val="Geral"/>
          <w:gallery w:val="placeholder"/>
        </w:category>
        <w:types>
          <w:type w:val="bbPlcHdr"/>
        </w:types>
        <w:behaviors>
          <w:behavior w:val="content"/>
        </w:behaviors>
        <w:guid w:val="{64A5BC0D-8F1C-4665-BD98-C805F2EE64F6}"/>
      </w:docPartPr>
      <w:docPartBody>
        <w:p w:rsidR="000C1B83" w:rsidRDefault="000C1B83" w:rsidP="000C1B83">
          <w:pPr>
            <w:pStyle w:val="F527390EAF89467E8D26A5C103F14657"/>
          </w:pPr>
          <w:r w:rsidRPr="002C62D0">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ohit Hindi">
    <w:altName w:val="Yu Gothic"/>
    <w:charset w:val="80"/>
    <w:family w:val="auto"/>
    <w:pitch w:val="variable"/>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Yu Gothic"/>
    <w:charset w:val="80"/>
    <w:family w:val="auto"/>
    <w:pitch w:val="default"/>
  </w:font>
  <w:font w:name="Liberation Sans">
    <w:altName w:val="Yu Gothic"/>
    <w:charset w:val="80"/>
    <w:family w:val="swiss"/>
    <w:pitch w:val="variable"/>
  </w:font>
  <w:font w:name="WenQuanYi Micro Hei">
    <w:charset w:val="00"/>
    <w:family w:val="auto"/>
    <w:pitch w:val="variable"/>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B83"/>
    <w:rsid w:val="0006534B"/>
    <w:rsid w:val="000C1B83"/>
    <w:rsid w:val="00415DE0"/>
    <w:rsid w:val="00693334"/>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pt-BR"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0C1B83"/>
    <w:rPr>
      <w:color w:val="808080"/>
    </w:rPr>
  </w:style>
  <w:style w:type="paragraph" w:customStyle="1" w:styleId="65DABB59FF8C44E1BF6DC0D65DE7DC83">
    <w:name w:val="65DABB59FF8C44E1BF6DC0D65DE7DC83"/>
    <w:rsid w:val="000C1B83"/>
  </w:style>
  <w:style w:type="paragraph" w:customStyle="1" w:styleId="F3C03730EB2045C98AA612E8250D4C3F">
    <w:name w:val="F3C03730EB2045C98AA612E8250D4C3F"/>
    <w:rsid w:val="000C1B83"/>
  </w:style>
  <w:style w:type="paragraph" w:customStyle="1" w:styleId="8F9223336F7545A3A3B5B8B8DB88377F">
    <w:name w:val="8F9223336F7545A3A3B5B8B8DB88377F"/>
    <w:rsid w:val="000C1B83"/>
  </w:style>
  <w:style w:type="paragraph" w:customStyle="1" w:styleId="421FF9D33C1F4D6B81F98981CBF5EE01">
    <w:name w:val="421FF9D33C1F4D6B81F98981CBF5EE01"/>
    <w:rsid w:val="000C1B83"/>
  </w:style>
  <w:style w:type="paragraph" w:customStyle="1" w:styleId="62F83DCD0AF64FC2919A10F72D3826D2">
    <w:name w:val="62F83DCD0AF64FC2919A10F72D3826D2"/>
    <w:rsid w:val="000C1B83"/>
  </w:style>
  <w:style w:type="paragraph" w:customStyle="1" w:styleId="F527390EAF89467E8D26A5C103F14657">
    <w:name w:val="F527390EAF89467E8D26A5C103F14657"/>
    <w:rsid w:val="000C1B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5731</Words>
  <Characters>35022</Characters>
  <Application>Microsoft Office Word</Application>
  <DocSecurity>0</DocSecurity>
  <Lines>291</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Pires</dc:creator>
  <cp:keywords/>
  <dc:description/>
  <cp:lastModifiedBy>Josiane Dourado</cp:lastModifiedBy>
  <cp:revision>2</cp:revision>
  <cp:lastPrinted>2024-08-20T13:50:00Z</cp:lastPrinted>
  <dcterms:created xsi:type="dcterms:W3CDTF">2024-08-21T13:11:00Z</dcterms:created>
  <dcterms:modified xsi:type="dcterms:W3CDTF">2024-08-21T13:11:00Z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1b4ef7da76473f959a59c1b327d7b5b92dab065fd884a12a68c4f47c1e452f52</vt:lpwstr>
  </property>
</Properties>
</file>