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64F761" w14:textId="77777777" w:rsidR="00FF330A" w:rsidRDefault="00FF330A" w:rsidP="00FF330A">
      <w:pPr>
        <w:jc w:val="center"/>
        <w:rPr>
          <w:rFonts w:ascii="Times New Roman" w:hAnsi="Times New Roman" w:cs="Times New Roman"/>
          <w:sz w:val="24"/>
          <w:szCs w:val="24"/>
        </w:rPr>
      </w:pPr>
      <w:r w:rsidRPr="007F6FD8">
        <w:rPr>
          <w:rFonts w:ascii="Times New Roman" w:hAnsi="Times New Roman" w:cs="Times New Roman"/>
          <w:sz w:val="24"/>
          <w:szCs w:val="24"/>
        </w:rPr>
        <w:t xml:space="preserve">Instituto Mato-grossense do Feijão, Pulses, Colheitas Especiais e Irrigação </w:t>
      </w:r>
      <w:r>
        <w:rPr>
          <w:rFonts w:ascii="Times New Roman" w:hAnsi="Times New Roman" w:cs="Times New Roman"/>
          <w:sz w:val="24"/>
          <w:szCs w:val="24"/>
        </w:rPr>
        <w:t>(</w:t>
      </w:r>
      <w:r w:rsidRPr="007F6FD8">
        <w:rPr>
          <w:rFonts w:ascii="Times New Roman" w:hAnsi="Times New Roman" w:cs="Times New Roman"/>
          <w:sz w:val="24"/>
          <w:szCs w:val="24"/>
        </w:rPr>
        <w:t>IMAFIR-MT</w:t>
      </w:r>
      <w:r>
        <w:rPr>
          <w:rFonts w:ascii="Times New Roman" w:hAnsi="Times New Roman" w:cs="Times New Roman"/>
          <w:sz w:val="24"/>
          <w:szCs w:val="24"/>
        </w:rPr>
        <w:t>)</w:t>
      </w:r>
    </w:p>
    <w:p w14:paraId="67731B14" w14:textId="77777777" w:rsidR="00FF330A" w:rsidRPr="00872D7D" w:rsidRDefault="00FF330A" w:rsidP="00FF330A">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de Viçosa (UFV)</w:t>
      </w:r>
    </w:p>
    <w:p w14:paraId="45E2BC1C" w14:textId="77777777" w:rsidR="00FF330A" w:rsidRPr="00872D7D" w:rsidRDefault="00FF330A" w:rsidP="00FF330A">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do Rio de Janeiro (UFRJ)</w:t>
      </w:r>
    </w:p>
    <w:p w14:paraId="265762F4" w14:textId="77777777" w:rsidR="00FF330A" w:rsidRDefault="00FF330A" w:rsidP="00FF330A">
      <w:pPr>
        <w:jc w:val="center"/>
        <w:rPr>
          <w:rFonts w:ascii="Times New Roman" w:hAnsi="Times New Roman" w:cs="Times New Roman"/>
        </w:rPr>
      </w:pPr>
    </w:p>
    <w:p w14:paraId="017BE9E2" w14:textId="77777777" w:rsidR="00FF330A" w:rsidRDefault="00FF330A" w:rsidP="00FF330A">
      <w:pPr>
        <w:jc w:val="center"/>
        <w:rPr>
          <w:rFonts w:ascii="Times New Roman" w:hAnsi="Times New Roman" w:cs="Times New Roman"/>
        </w:rPr>
      </w:pPr>
    </w:p>
    <w:p w14:paraId="09C84245" w14:textId="77777777" w:rsidR="00FF330A" w:rsidRDefault="00FF330A" w:rsidP="00FF330A">
      <w:pPr>
        <w:jc w:val="center"/>
        <w:rPr>
          <w:rFonts w:ascii="Times New Roman" w:hAnsi="Times New Roman" w:cs="Times New Roman"/>
        </w:rPr>
      </w:pPr>
    </w:p>
    <w:p w14:paraId="62A30943" w14:textId="77777777" w:rsidR="00FF330A" w:rsidRPr="00564EAB" w:rsidRDefault="00FF330A" w:rsidP="00FF330A">
      <w:pPr>
        <w:jc w:val="center"/>
        <w:rPr>
          <w:rFonts w:ascii="Times New Roman" w:hAnsi="Times New Roman" w:cs="Times New Roman"/>
        </w:rPr>
      </w:pPr>
    </w:p>
    <w:p w14:paraId="23A73D86" w14:textId="77777777" w:rsidR="00FF330A" w:rsidRPr="00D23B55" w:rsidRDefault="00FF330A" w:rsidP="00FF330A">
      <w:pPr>
        <w:jc w:val="center"/>
        <w:rPr>
          <w:rFonts w:ascii="Times New Roman" w:hAnsi="Times New Roman" w:cs="Times New Roman"/>
          <w:b/>
          <w:bCs/>
          <w:sz w:val="24"/>
          <w:szCs w:val="24"/>
        </w:rPr>
      </w:pPr>
      <w:r w:rsidRPr="00D23B55">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61F0084E" w14:textId="77777777" w:rsidR="00FF330A" w:rsidRDefault="00FF330A" w:rsidP="00FF330A">
      <w:pPr>
        <w:rPr>
          <w:rFonts w:ascii="Times New Roman" w:hAnsi="Times New Roman" w:cs="Times New Roman"/>
        </w:rPr>
      </w:pPr>
    </w:p>
    <w:p w14:paraId="507B953E" w14:textId="77777777" w:rsidR="00FF330A" w:rsidRDefault="00FF330A" w:rsidP="00FF330A">
      <w:pPr>
        <w:rPr>
          <w:rFonts w:ascii="Times New Roman" w:hAnsi="Times New Roman" w:cs="Times New Roman"/>
        </w:rPr>
      </w:pPr>
    </w:p>
    <w:p w14:paraId="30193D7F" w14:textId="77777777" w:rsidR="00FF330A" w:rsidRPr="000E3ABD" w:rsidRDefault="00FF330A" w:rsidP="00FF330A">
      <w:pPr>
        <w:rPr>
          <w:rFonts w:ascii="Times New Roman" w:hAnsi="Times New Roman" w:cs="Times New Roman"/>
          <w:sz w:val="24"/>
          <w:szCs w:val="24"/>
        </w:rPr>
      </w:pPr>
    </w:p>
    <w:p w14:paraId="53590009" w14:textId="77777777" w:rsidR="00FF330A" w:rsidRDefault="00FF330A" w:rsidP="00FF330A">
      <w:pPr>
        <w:spacing w:after="0"/>
        <w:jc w:val="center"/>
        <w:rPr>
          <w:rFonts w:ascii="Times New Roman" w:hAnsi="Times New Roman" w:cs="Times New Roman"/>
          <w:i/>
          <w:iCs/>
          <w:sz w:val="24"/>
          <w:szCs w:val="24"/>
        </w:rPr>
      </w:pPr>
      <w:r>
        <w:rPr>
          <w:rFonts w:ascii="Times New Roman" w:hAnsi="Times New Roman" w:cs="Times New Roman"/>
          <w:i/>
          <w:iCs/>
          <w:sz w:val="24"/>
          <w:szCs w:val="24"/>
        </w:rPr>
        <w:t>RELATÓRIO FINAL</w:t>
      </w:r>
    </w:p>
    <w:p w14:paraId="28FB7D24" w14:textId="77777777" w:rsidR="005F6BE3" w:rsidRDefault="00FF330A" w:rsidP="00FF330A">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Meta </w:t>
      </w:r>
      <w:r w:rsidR="005F6BE3">
        <w:rPr>
          <w:rFonts w:ascii="Times New Roman" w:hAnsi="Times New Roman" w:cs="Times New Roman"/>
          <w:i/>
          <w:iCs/>
          <w:sz w:val="24"/>
          <w:szCs w:val="24"/>
        </w:rPr>
        <w:t>7</w:t>
      </w:r>
      <w:r>
        <w:rPr>
          <w:rFonts w:ascii="Times New Roman" w:hAnsi="Times New Roman" w:cs="Times New Roman"/>
          <w:i/>
          <w:iCs/>
          <w:sz w:val="24"/>
          <w:szCs w:val="24"/>
        </w:rPr>
        <w:t xml:space="preserve"> – </w:t>
      </w:r>
      <w:r w:rsidR="005F6BE3" w:rsidRPr="005F6BE3">
        <w:rPr>
          <w:rFonts w:ascii="Times New Roman" w:hAnsi="Times New Roman" w:cs="Times New Roman"/>
          <w:i/>
          <w:iCs/>
          <w:sz w:val="24"/>
          <w:szCs w:val="24"/>
        </w:rPr>
        <w:t>Avaliação de cenários de expansão sustentável da irrigação</w:t>
      </w:r>
    </w:p>
    <w:p w14:paraId="32365921" w14:textId="77BB0B33" w:rsidR="00FF330A" w:rsidRPr="000E3ABD" w:rsidRDefault="00FF330A" w:rsidP="00FF330A">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Atividade </w:t>
      </w:r>
      <w:r w:rsidR="005F6BE3">
        <w:rPr>
          <w:rFonts w:ascii="Times New Roman" w:hAnsi="Times New Roman" w:cs="Times New Roman"/>
          <w:i/>
          <w:iCs/>
          <w:sz w:val="24"/>
          <w:szCs w:val="24"/>
        </w:rPr>
        <w:t>7</w:t>
      </w:r>
      <w:r>
        <w:rPr>
          <w:rFonts w:ascii="Times New Roman" w:hAnsi="Times New Roman" w:cs="Times New Roman"/>
          <w:i/>
          <w:iCs/>
          <w:sz w:val="24"/>
          <w:szCs w:val="24"/>
        </w:rPr>
        <w:t xml:space="preserve">.1 – </w:t>
      </w:r>
      <w:r w:rsidR="004D18FB">
        <w:rPr>
          <w:rFonts w:ascii="Times New Roman" w:hAnsi="Times New Roman" w:cs="Times New Roman"/>
          <w:i/>
          <w:iCs/>
          <w:sz w:val="24"/>
          <w:szCs w:val="24"/>
        </w:rPr>
        <w:t>Análise da disponibilidade hídrica</w:t>
      </w:r>
    </w:p>
    <w:p w14:paraId="6A0604E0" w14:textId="7F8FEFEF" w:rsidR="00FF330A" w:rsidRDefault="00FF330A" w:rsidP="00FF330A">
      <w:pPr>
        <w:spacing w:after="0"/>
        <w:jc w:val="center"/>
        <w:rPr>
          <w:rFonts w:ascii="Times New Roman" w:hAnsi="Times New Roman" w:cs="Times New Roman"/>
          <w:i/>
          <w:iCs/>
          <w:sz w:val="24"/>
          <w:szCs w:val="24"/>
        </w:rPr>
      </w:pPr>
      <w:r>
        <w:rPr>
          <w:rFonts w:ascii="Times New Roman" w:hAnsi="Times New Roman" w:cs="Times New Roman"/>
          <w:i/>
          <w:iCs/>
          <w:sz w:val="24"/>
          <w:szCs w:val="24"/>
        </w:rPr>
        <w:t>Período de 30</w:t>
      </w:r>
      <w:r w:rsidRPr="000E3ABD">
        <w:rPr>
          <w:rFonts w:ascii="Times New Roman" w:hAnsi="Times New Roman" w:cs="Times New Roman"/>
          <w:i/>
          <w:iCs/>
          <w:sz w:val="24"/>
          <w:szCs w:val="24"/>
        </w:rPr>
        <w:t xml:space="preserve"> de </w:t>
      </w:r>
      <w:r w:rsidR="004D18FB">
        <w:rPr>
          <w:rFonts w:ascii="Times New Roman" w:hAnsi="Times New Roman" w:cs="Times New Roman"/>
          <w:i/>
          <w:iCs/>
          <w:sz w:val="24"/>
          <w:szCs w:val="24"/>
        </w:rPr>
        <w:t>novembro</w:t>
      </w:r>
      <w:r w:rsidRPr="000E3ABD">
        <w:rPr>
          <w:rFonts w:ascii="Times New Roman" w:hAnsi="Times New Roman" w:cs="Times New Roman"/>
          <w:i/>
          <w:iCs/>
          <w:sz w:val="24"/>
          <w:szCs w:val="24"/>
        </w:rPr>
        <w:t xml:space="preserve"> de 2023 a </w:t>
      </w:r>
      <w:r w:rsidR="004D18FB">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4D18FB">
        <w:rPr>
          <w:rFonts w:ascii="Times New Roman" w:hAnsi="Times New Roman" w:cs="Times New Roman"/>
          <w:i/>
          <w:iCs/>
          <w:sz w:val="24"/>
          <w:szCs w:val="24"/>
        </w:rPr>
        <w:t>agosto</w:t>
      </w:r>
      <w:r w:rsidRPr="000E3ABD">
        <w:rPr>
          <w:rFonts w:ascii="Times New Roman" w:hAnsi="Times New Roman" w:cs="Times New Roman"/>
          <w:i/>
          <w:iCs/>
          <w:sz w:val="24"/>
          <w:szCs w:val="24"/>
        </w:rPr>
        <w:t xml:space="preserve"> de 202</w:t>
      </w:r>
      <w:r>
        <w:rPr>
          <w:rFonts w:ascii="Times New Roman" w:hAnsi="Times New Roman" w:cs="Times New Roman"/>
          <w:i/>
          <w:iCs/>
          <w:sz w:val="24"/>
          <w:szCs w:val="24"/>
        </w:rPr>
        <w:t>4</w:t>
      </w:r>
    </w:p>
    <w:p w14:paraId="03F606EE" w14:textId="77777777" w:rsidR="00FF330A" w:rsidRDefault="00FF330A" w:rsidP="00FF330A">
      <w:pPr>
        <w:jc w:val="center"/>
        <w:rPr>
          <w:rFonts w:ascii="Times New Roman" w:hAnsi="Times New Roman" w:cs="Times New Roman"/>
          <w:i/>
          <w:iCs/>
          <w:sz w:val="24"/>
          <w:szCs w:val="24"/>
        </w:rPr>
      </w:pPr>
    </w:p>
    <w:p w14:paraId="10748E1D" w14:textId="77777777" w:rsidR="00FF330A" w:rsidRDefault="00FF330A" w:rsidP="00FF330A">
      <w:pPr>
        <w:jc w:val="center"/>
        <w:rPr>
          <w:rFonts w:ascii="Times New Roman" w:hAnsi="Times New Roman" w:cs="Times New Roman"/>
          <w:i/>
          <w:iCs/>
          <w:sz w:val="24"/>
          <w:szCs w:val="24"/>
        </w:rPr>
      </w:pPr>
    </w:p>
    <w:p w14:paraId="627CA41B" w14:textId="77777777" w:rsidR="00FF330A" w:rsidRDefault="00FF330A" w:rsidP="00FF330A">
      <w:pPr>
        <w:jc w:val="center"/>
        <w:rPr>
          <w:rFonts w:ascii="Times New Roman" w:hAnsi="Times New Roman" w:cs="Times New Roman"/>
          <w:i/>
          <w:iCs/>
          <w:sz w:val="24"/>
          <w:szCs w:val="24"/>
        </w:rPr>
      </w:pPr>
    </w:p>
    <w:p w14:paraId="62B09B24" w14:textId="77777777" w:rsidR="00FF330A" w:rsidRDefault="00FF330A" w:rsidP="00FF330A">
      <w:pPr>
        <w:jc w:val="center"/>
        <w:rPr>
          <w:rFonts w:ascii="Times New Roman" w:hAnsi="Times New Roman" w:cs="Times New Roman"/>
          <w:i/>
          <w:iCs/>
          <w:sz w:val="24"/>
          <w:szCs w:val="24"/>
        </w:rPr>
      </w:pPr>
    </w:p>
    <w:p w14:paraId="2C3C8D2B" w14:textId="77777777" w:rsidR="00FF330A" w:rsidRDefault="00FF330A" w:rsidP="00FF330A">
      <w:pPr>
        <w:jc w:val="center"/>
        <w:rPr>
          <w:rFonts w:ascii="Times New Roman" w:hAnsi="Times New Roman" w:cs="Times New Roman"/>
          <w:i/>
          <w:iCs/>
          <w:sz w:val="24"/>
          <w:szCs w:val="24"/>
        </w:rPr>
      </w:pPr>
    </w:p>
    <w:p w14:paraId="2A008356" w14:textId="77777777" w:rsidR="00FF330A" w:rsidRDefault="00FF330A" w:rsidP="00FF330A">
      <w:pPr>
        <w:jc w:val="center"/>
        <w:rPr>
          <w:rFonts w:ascii="Times New Roman" w:hAnsi="Times New Roman" w:cs="Times New Roman"/>
          <w:i/>
          <w:iCs/>
          <w:sz w:val="24"/>
          <w:szCs w:val="24"/>
        </w:rPr>
      </w:pPr>
    </w:p>
    <w:p w14:paraId="70BB567A" w14:textId="77777777" w:rsidR="00FF330A" w:rsidRDefault="00FF330A" w:rsidP="00FF330A">
      <w:pPr>
        <w:jc w:val="center"/>
        <w:rPr>
          <w:rFonts w:ascii="Times New Roman" w:hAnsi="Times New Roman" w:cs="Times New Roman"/>
          <w:i/>
          <w:iCs/>
          <w:sz w:val="24"/>
          <w:szCs w:val="24"/>
        </w:rPr>
      </w:pPr>
    </w:p>
    <w:p w14:paraId="5DF17729" w14:textId="77777777" w:rsidR="00FF330A" w:rsidRPr="00284D2C" w:rsidRDefault="00FF330A" w:rsidP="00FF330A">
      <w:pPr>
        <w:jc w:val="center"/>
        <w:rPr>
          <w:rFonts w:ascii="Times New Roman" w:hAnsi="Times New Roman" w:cs="Times New Roman"/>
          <w:sz w:val="24"/>
          <w:szCs w:val="24"/>
        </w:rPr>
      </w:pPr>
      <w:r w:rsidRPr="00284D2C">
        <w:rPr>
          <w:rFonts w:ascii="Times New Roman" w:hAnsi="Times New Roman" w:cs="Times New Roman"/>
          <w:sz w:val="24"/>
          <w:szCs w:val="24"/>
        </w:rPr>
        <w:t>Agosto de 2024</w:t>
      </w:r>
    </w:p>
    <w:p w14:paraId="13754F04" w14:textId="77777777" w:rsidR="00FF330A" w:rsidRDefault="00FF330A" w:rsidP="00FF330A">
      <w:pPr>
        <w:rPr>
          <w:rFonts w:ascii="Times New Roman" w:hAnsi="Times New Roman" w:cs="Times New Roman"/>
        </w:rPr>
      </w:pPr>
    </w:p>
    <w:p w14:paraId="16650E3E" w14:textId="77777777" w:rsidR="00FF330A" w:rsidRDefault="00FF330A" w:rsidP="00FF330A">
      <w:pPr>
        <w:rPr>
          <w:rFonts w:ascii="Times New Roman" w:hAnsi="Times New Roman" w:cs="Times New Roman"/>
        </w:rPr>
      </w:pPr>
    </w:p>
    <w:p w14:paraId="3DE0266F"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5B2F35DB"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3D3201FA"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4282B17B"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2ADF9779"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5EC2C3FD" w14:textId="77777777" w:rsidR="00FF330A" w:rsidRDefault="00FF330A" w:rsidP="00FF330A">
      <w:pPr>
        <w:pStyle w:val="PargrafodaLista"/>
        <w:spacing w:line="360" w:lineRule="auto"/>
        <w:ind w:left="142"/>
        <w:jc w:val="both"/>
        <w:rPr>
          <w:rFonts w:ascii="Times New Roman" w:hAnsi="Times New Roman" w:cs="Times New Roman"/>
          <w:b/>
          <w:bCs/>
          <w:sz w:val="24"/>
          <w:szCs w:val="24"/>
        </w:rPr>
      </w:pPr>
    </w:p>
    <w:p w14:paraId="37E50DF8" w14:textId="7617B4C1" w:rsidR="00F770E0" w:rsidRPr="006F50F1" w:rsidRDefault="004D18FB" w:rsidP="004D18FB">
      <w:pPr>
        <w:pStyle w:val="PargrafodaLista"/>
        <w:numPr>
          <w:ilvl w:val="0"/>
          <w:numId w:val="1"/>
        </w:numPr>
        <w:tabs>
          <w:tab w:val="left" w:pos="3686"/>
        </w:tabs>
        <w:spacing w:line="360" w:lineRule="auto"/>
        <w:rPr>
          <w:rFonts w:ascii="Times New Roman" w:hAnsi="Times New Roman" w:cs="Times New Roman"/>
          <w:b/>
          <w:bCs/>
          <w:sz w:val="24"/>
          <w:szCs w:val="24"/>
        </w:rPr>
      </w:pPr>
      <w:r w:rsidRPr="006F50F1">
        <w:rPr>
          <w:rFonts w:ascii="Times New Roman" w:hAnsi="Times New Roman" w:cs="Times New Roman"/>
          <w:b/>
          <w:bCs/>
          <w:sz w:val="24"/>
          <w:szCs w:val="24"/>
        </w:rPr>
        <w:lastRenderedPageBreak/>
        <w:t>Introdução</w:t>
      </w:r>
    </w:p>
    <w:p w14:paraId="7E238FDE" w14:textId="0CC8BBA6" w:rsidR="00F773D6" w:rsidRPr="00F773D6" w:rsidRDefault="00F773D6" w:rsidP="00FD4E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773D6">
        <w:rPr>
          <w:rFonts w:ascii="Times New Roman" w:hAnsi="Times New Roman" w:cs="Times New Roman"/>
          <w:sz w:val="24"/>
          <w:szCs w:val="24"/>
        </w:rPr>
        <w:t>A Bacia do Alto Rio das Mortes, com uma extensão de 2,9 milhões de hectares, está inserida na bacia hidrográfica Tocantins-Araguaia, tendo como principal afluente o Rio das Mortes. Esta região dedica 33,29% de sua área total ao cultivo agrícola, principalmente soja, outras culturas temporárias e algodão. Além disso, abriga um polo nacional de irrigação com 1,6 milhões de hectares, dos quais 65.458 hectares são atualmente irrigados. (ANA, 2021).</w:t>
      </w:r>
    </w:p>
    <w:p w14:paraId="35533980" w14:textId="10387CDD" w:rsidR="00F773D6" w:rsidRPr="00F773D6" w:rsidRDefault="00F773D6" w:rsidP="00FD4E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773D6">
        <w:rPr>
          <w:rFonts w:ascii="Times New Roman" w:hAnsi="Times New Roman" w:cs="Times New Roman"/>
          <w:sz w:val="24"/>
          <w:szCs w:val="24"/>
        </w:rPr>
        <w:t>O modelo de cultivo de dupla safra, que depende de uma estação chuvosa com duração mínima de 200 dias, está ameaçado pelas mudanças climáticas. Estudos indicam uma redução na estação chuvosa de 5 a 20 dias, além de um aumento na ocorrência de secas e no aquecimento regional (Commar et al., 2023; Co</w:t>
      </w:r>
      <w:r w:rsidR="00C8363D">
        <w:rPr>
          <w:rFonts w:ascii="Times New Roman" w:hAnsi="Times New Roman" w:cs="Times New Roman"/>
          <w:sz w:val="24"/>
          <w:szCs w:val="24"/>
        </w:rPr>
        <w:t>s</w:t>
      </w:r>
      <w:r w:rsidRPr="00F773D6">
        <w:rPr>
          <w:rFonts w:ascii="Times New Roman" w:hAnsi="Times New Roman" w:cs="Times New Roman"/>
          <w:sz w:val="24"/>
          <w:szCs w:val="24"/>
        </w:rPr>
        <w:t>ta et al., 2019)</w:t>
      </w:r>
    </w:p>
    <w:p w14:paraId="342A2436" w14:textId="2E9E32C4" w:rsidR="004D18FB" w:rsidRDefault="00FE605C" w:rsidP="00FD4EA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Esta etapa do projeto buscou</w:t>
      </w:r>
      <w:r w:rsidR="00F773D6" w:rsidRPr="00F773D6">
        <w:rPr>
          <w:rFonts w:ascii="Times New Roman" w:hAnsi="Times New Roman" w:cs="Times New Roman"/>
          <w:sz w:val="24"/>
          <w:szCs w:val="24"/>
        </w:rPr>
        <w:t xml:space="preserve"> avaliar o potencial da expansão da irrigação na Bacia do Rio das Mortes. Para isso, integra a regionalização de vazões considerando múltiplas restrições ao uso da água e estima o crescimento dos sistemas de irrigação com base em dados de outorgas de águas superficiais, conforme a legislação proposta pelo estado de Mato Grosso, visando garantir um cenário de expansão e uso sustentável da água.</w:t>
      </w:r>
    </w:p>
    <w:p w14:paraId="3E410123" w14:textId="77777777" w:rsidR="00F773D6" w:rsidRDefault="00F773D6" w:rsidP="00F773D6">
      <w:pPr>
        <w:spacing w:line="360" w:lineRule="auto"/>
        <w:ind w:firstLine="708"/>
        <w:rPr>
          <w:rFonts w:ascii="Times New Roman" w:hAnsi="Times New Roman" w:cs="Times New Roman"/>
          <w:sz w:val="24"/>
          <w:szCs w:val="24"/>
        </w:rPr>
      </w:pPr>
    </w:p>
    <w:p w14:paraId="74E1F97D" w14:textId="3FAAC5CB" w:rsidR="00A85464" w:rsidRPr="007F5EEB" w:rsidRDefault="007F5EEB" w:rsidP="00FF330A">
      <w:pPr>
        <w:pStyle w:val="PargrafodaLista"/>
        <w:numPr>
          <w:ilvl w:val="0"/>
          <w:numId w:val="1"/>
        </w:numPr>
        <w:tabs>
          <w:tab w:val="left" w:pos="3686"/>
        </w:tabs>
        <w:spacing w:line="360" w:lineRule="auto"/>
        <w:rPr>
          <w:rFonts w:ascii="Times New Roman" w:hAnsi="Times New Roman" w:cs="Times New Roman"/>
          <w:b/>
          <w:bCs/>
          <w:sz w:val="24"/>
          <w:szCs w:val="24"/>
        </w:rPr>
      </w:pPr>
      <w:r w:rsidRPr="007F5EEB">
        <w:rPr>
          <w:rFonts w:ascii="Times New Roman" w:hAnsi="Times New Roman" w:cs="Times New Roman"/>
          <w:b/>
          <w:bCs/>
          <w:sz w:val="24"/>
          <w:szCs w:val="24"/>
        </w:rPr>
        <w:t>Atividades desenvolvidas</w:t>
      </w:r>
    </w:p>
    <w:p w14:paraId="692BC853" w14:textId="66BB2528" w:rsidR="00A85464" w:rsidRPr="00A71AE2" w:rsidRDefault="00A85464" w:rsidP="00A71AE2">
      <w:pPr>
        <w:pStyle w:val="PargrafodaLista"/>
        <w:numPr>
          <w:ilvl w:val="1"/>
          <w:numId w:val="1"/>
        </w:numPr>
        <w:tabs>
          <w:tab w:val="left" w:pos="3686"/>
        </w:tabs>
        <w:spacing w:after="0" w:line="360" w:lineRule="auto"/>
        <w:ind w:left="567"/>
        <w:rPr>
          <w:rFonts w:ascii="Times New Roman" w:hAnsi="Times New Roman" w:cs="Times New Roman"/>
          <w:b/>
          <w:bCs/>
          <w:sz w:val="24"/>
          <w:szCs w:val="24"/>
        </w:rPr>
      </w:pPr>
      <w:r w:rsidRPr="00A71AE2">
        <w:rPr>
          <w:rFonts w:ascii="Times New Roman" w:hAnsi="Times New Roman" w:cs="Times New Roman"/>
          <w:b/>
          <w:bCs/>
          <w:sz w:val="24"/>
          <w:szCs w:val="24"/>
        </w:rPr>
        <w:t>Estimativa de vazão da bacia Rio das Mortes</w:t>
      </w:r>
    </w:p>
    <w:p w14:paraId="348D4FE4" w14:textId="6660DCB5" w:rsidR="00A85464" w:rsidRDefault="00023CDA" w:rsidP="00A71A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85464" w:rsidRPr="00FF330A">
        <w:rPr>
          <w:rFonts w:ascii="Times New Roman" w:hAnsi="Times New Roman" w:cs="Times New Roman"/>
          <w:sz w:val="24"/>
          <w:szCs w:val="24"/>
        </w:rPr>
        <w:t xml:space="preserve">As vazões ao longo de todos os segmentos fluviais dentro da bacia do Rio das Mortes foram estimadas com base nos métodos de Eletrobrás (1985), Rodriguez (2008) e </w:t>
      </w:r>
      <w:proofErr w:type="spellStart"/>
      <w:r w:rsidR="00A85464" w:rsidRPr="00FF330A">
        <w:rPr>
          <w:rFonts w:ascii="Times New Roman" w:hAnsi="Times New Roman" w:cs="Times New Roman"/>
          <w:sz w:val="24"/>
          <w:szCs w:val="24"/>
        </w:rPr>
        <w:t>Pruski</w:t>
      </w:r>
      <w:proofErr w:type="spellEnd"/>
      <w:r w:rsidR="00A85464" w:rsidRPr="00FF330A">
        <w:rPr>
          <w:rFonts w:ascii="Times New Roman" w:hAnsi="Times New Roman" w:cs="Times New Roman"/>
          <w:sz w:val="24"/>
          <w:szCs w:val="24"/>
        </w:rPr>
        <w:t xml:space="preserve"> et al. (2013)</w:t>
      </w:r>
      <w:r w:rsidR="00C8363D">
        <w:rPr>
          <w:rFonts w:ascii="Times New Roman" w:hAnsi="Times New Roman" w:cs="Times New Roman"/>
          <w:sz w:val="24"/>
          <w:szCs w:val="24"/>
        </w:rPr>
        <w:t xml:space="preserve"> (Figura 1</w:t>
      </w:r>
      <w:r w:rsidR="00E46C5E">
        <w:rPr>
          <w:rFonts w:ascii="Times New Roman" w:hAnsi="Times New Roman" w:cs="Times New Roman"/>
          <w:sz w:val="24"/>
          <w:szCs w:val="24"/>
        </w:rPr>
        <w:t>, resultado proveniente da Seção 4.</w:t>
      </w:r>
      <w:r w:rsidR="00EF50F3">
        <w:rPr>
          <w:rFonts w:ascii="Times New Roman" w:hAnsi="Times New Roman" w:cs="Times New Roman"/>
          <w:sz w:val="24"/>
          <w:szCs w:val="24"/>
        </w:rPr>
        <w:t>3</w:t>
      </w:r>
      <w:r w:rsidR="00C8363D">
        <w:rPr>
          <w:rFonts w:ascii="Times New Roman" w:hAnsi="Times New Roman" w:cs="Times New Roman"/>
          <w:sz w:val="24"/>
          <w:szCs w:val="24"/>
        </w:rPr>
        <w:t>)</w:t>
      </w:r>
      <w:r w:rsidR="00A85464" w:rsidRPr="00FF330A">
        <w:rPr>
          <w:rFonts w:ascii="Times New Roman" w:hAnsi="Times New Roman" w:cs="Times New Roman"/>
          <w:sz w:val="24"/>
          <w:szCs w:val="24"/>
        </w:rPr>
        <w:t xml:space="preserve">. Foram definidas regiões hidrologicamente homogêneas e calculadas as equações que associam a vazão com variáveis físicas e climáticas. </w:t>
      </w:r>
    </w:p>
    <w:p w14:paraId="75CC8BE7" w14:textId="77777777" w:rsidR="00FD4EAE" w:rsidRDefault="00FD4EAE" w:rsidP="00A71AE2">
      <w:pPr>
        <w:spacing w:after="0" w:line="360" w:lineRule="auto"/>
        <w:jc w:val="both"/>
        <w:rPr>
          <w:rFonts w:ascii="Times New Roman" w:hAnsi="Times New Roman" w:cs="Times New Roman"/>
          <w:sz w:val="24"/>
          <w:szCs w:val="24"/>
        </w:rPr>
      </w:pPr>
    </w:p>
    <w:p w14:paraId="776D217B" w14:textId="77777777" w:rsidR="00FD4EAE" w:rsidRPr="00A71AE2" w:rsidRDefault="00FD4EAE" w:rsidP="00A71AE2">
      <w:pPr>
        <w:pStyle w:val="PargrafodaLista"/>
        <w:numPr>
          <w:ilvl w:val="1"/>
          <w:numId w:val="1"/>
        </w:numPr>
        <w:tabs>
          <w:tab w:val="left" w:pos="3686"/>
        </w:tabs>
        <w:spacing w:after="0" w:line="360" w:lineRule="auto"/>
        <w:ind w:left="567"/>
        <w:jc w:val="both"/>
        <w:rPr>
          <w:rFonts w:ascii="Times New Roman" w:hAnsi="Times New Roman" w:cs="Times New Roman"/>
          <w:b/>
          <w:bCs/>
          <w:sz w:val="24"/>
          <w:szCs w:val="24"/>
        </w:rPr>
      </w:pPr>
      <w:r w:rsidRPr="00A71AE2">
        <w:rPr>
          <w:rFonts w:ascii="Times New Roman" w:hAnsi="Times New Roman" w:cs="Times New Roman"/>
          <w:b/>
          <w:bCs/>
          <w:sz w:val="24"/>
          <w:szCs w:val="24"/>
        </w:rPr>
        <w:t>Quantificação do Uso de Vazão nas Sub-bacias do Rio das Mortes</w:t>
      </w:r>
    </w:p>
    <w:p w14:paraId="30AA70AF" w14:textId="234BCA17" w:rsidR="00FD4EAE" w:rsidRPr="00FF330A" w:rsidRDefault="00FD4EAE" w:rsidP="00A71AE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F330A">
        <w:rPr>
          <w:rFonts w:ascii="Times New Roman" w:hAnsi="Times New Roman" w:cs="Times New Roman"/>
          <w:sz w:val="24"/>
          <w:szCs w:val="24"/>
        </w:rPr>
        <w:t>Para quantificar a quantidade de vazão já utilizada nas sub-bacias, foram utilizadas as vazões outorgadas de uso de água superficial fornecidas pela ANA (2024). Essas informações incluem a localização geográfica da outorga, a fonte do rio, a quantidade de vazão outorgada (m³/h) e o propósito do uso da outorga. As outorgas são divididas em usos consuntivos: uso industrial e consumo humano; e usos não consuntivos: uso do curso d’água sem consumi-lo, incluindo recreação, pesca e produção de energia</w:t>
      </w:r>
      <w:r w:rsidR="00691C6A">
        <w:rPr>
          <w:rFonts w:ascii="Times New Roman" w:hAnsi="Times New Roman" w:cs="Times New Roman"/>
          <w:sz w:val="24"/>
          <w:szCs w:val="24"/>
        </w:rPr>
        <w:t xml:space="preserve"> (Figura 2)</w:t>
      </w:r>
      <w:r w:rsidRPr="00FF330A">
        <w:rPr>
          <w:rFonts w:ascii="Times New Roman" w:hAnsi="Times New Roman" w:cs="Times New Roman"/>
          <w:sz w:val="24"/>
          <w:szCs w:val="24"/>
        </w:rPr>
        <w:t xml:space="preserve">. Todas as outorgas </w:t>
      </w:r>
      <w:r w:rsidR="00A23552">
        <w:rPr>
          <w:rFonts w:ascii="Times New Roman" w:hAnsi="Times New Roman" w:cs="Times New Roman"/>
          <w:sz w:val="24"/>
          <w:szCs w:val="24"/>
        </w:rPr>
        <w:t xml:space="preserve">superficiais </w:t>
      </w:r>
      <w:r w:rsidRPr="00FF330A">
        <w:rPr>
          <w:rFonts w:ascii="Times New Roman" w:hAnsi="Times New Roman" w:cs="Times New Roman"/>
          <w:sz w:val="24"/>
          <w:szCs w:val="24"/>
        </w:rPr>
        <w:t>foram consideradas.</w:t>
      </w:r>
    </w:p>
    <w:p w14:paraId="01C20B8F" w14:textId="4863F492" w:rsidR="00237F64" w:rsidRPr="00FF330A" w:rsidRDefault="00237F64" w:rsidP="00FF330A">
      <w:pPr>
        <w:spacing w:line="360" w:lineRule="auto"/>
        <w:jc w:val="both"/>
        <w:rPr>
          <w:rFonts w:ascii="Times New Roman" w:eastAsia="Times New Roman" w:hAnsi="Times New Roman" w:cs="Times New Roman"/>
          <w:sz w:val="24"/>
          <w:szCs w:val="24"/>
          <w:lang w:eastAsia="pt-BR"/>
        </w:rPr>
      </w:pPr>
      <w:r w:rsidRPr="00FF330A">
        <w:rPr>
          <w:rFonts w:ascii="Times New Roman" w:eastAsia="Times New Roman" w:hAnsi="Times New Roman" w:cs="Times New Roman"/>
          <w:noProof/>
          <w:color w:val="000000"/>
          <w:sz w:val="24"/>
          <w:szCs w:val="24"/>
          <w:bdr w:val="none" w:sz="0" w:space="0" w:color="auto" w:frame="1"/>
          <w:lang w:eastAsia="pt-BR"/>
        </w:rPr>
        <w:lastRenderedPageBreak/>
        <w:drawing>
          <wp:inline distT="0" distB="0" distL="0" distR="0" wp14:anchorId="7AD2BDA3" wp14:editId="2A382EB1">
            <wp:extent cx="5398770" cy="516826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8770" cy="5168265"/>
                    </a:xfrm>
                    <a:prstGeom prst="rect">
                      <a:avLst/>
                    </a:prstGeom>
                    <a:noFill/>
                    <a:ln>
                      <a:noFill/>
                    </a:ln>
                  </pic:spPr>
                </pic:pic>
              </a:graphicData>
            </a:graphic>
          </wp:inline>
        </w:drawing>
      </w:r>
    </w:p>
    <w:p w14:paraId="3F63014F" w14:textId="0C420B73" w:rsidR="00237F64" w:rsidRDefault="00237F64" w:rsidP="00756A7C">
      <w:pPr>
        <w:tabs>
          <w:tab w:val="left" w:pos="3686"/>
        </w:tabs>
        <w:spacing w:line="276" w:lineRule="auto"/>
        <w:jc w:val="both"/>
        <w:rPr>
          <w:rFonts w:ascii="Times New Roman" w:eastAsia="Times New Roman" w:hAnsi="Times New Roman" w:cs="Times New Roman"/>
          <w:color w:val="000000"/>
          <w:sz w:val="24"/>
          <w:szCs w:val="24"/>
          <w:lang w:eastAsia="pt-BR"/>
        </w:rPr>
      </w:pPr>
      <w:r w:rsidRPr="00756A7C">
        <w:rPr>
          <w:rFonts w:ascii="Times New Roman" w:eastAsia="Times New Roman" w:hAnsi="Times New Roman" w:cs="Times New Roman"/>
          <w:b/>
          <w:bCs/>
          <w:color w:val="000000"/>
          <w:sz w:val="24"/>
          <w:szCs w:val="24"/>
          <w:lang w:eastAsia="pt-BR"/>
        </w:rPr>
        <w:t>Figura 1</w:t>
      </w:r>
      <w:r w:rsidRPr="00FF330A">
        <w:rPr>
          <w:rFonts w:ascii="Times New Roman" w:eastAsia="Times New Roman" w:hAnsi="Times New Roman" w:cs="Times New Roman"/>
          <w:color w:val="000000"/>
          <w:sz w:val="24"/>
          <w:szCs w:val="24"/>
          <w:lang w:eastAsia="pt-BR"/>
        </w:rPr>
        <w:t>. Estimativa de vazão Q</w:t>
      </w:r>
      <w:r w:rsidRPr="00FF330A">
        <w:rPr>
          <w:rFonts w:ascii="Times New Roman" w:eastAsia="Times New Roman" w:hAnsi="Times New Roman" w:cs="Times New Roman"/>
          <w:color w:val="000000"/>
          <w:sz w:val="24"/>
          <w:szCs w:val="24"/>
          <w:vertAlign w:val="subscript"/>
          <w:lang w:eastAsia="pt-BR"/>
        </w:rPr>
        <w:t>95</w:t>
      </w:r>
      <w:r w:rsidRPr="00FF330A">
        <w:rPr>
          <w:rFonts w:ascii="Times New Roman" w:eastAsia="Times New Roman" w:hAnsi="Times New Roman" w:cs="Times New Roman"/>
          <w:color w:val="000000"/>
          <w:sz w:val="24"/>
          <w:szCs w:val="24"/>
          <w:lang w:eastAsia="pt-BR"/>
        </w:rPr>
        <w:t xml:space="preserve"> para as microbacias do Rio das Mortes. A escala de cores em azul indica a variação das vazões Q</w:t>
      </w:r>
      <w:r w:rsidRPr="00FF330A">
        <w:rPr>
          <w:rFonts w:ascii="Times New Roman" w:eastAsia="Times New Roman" w:hAnsi="Times New Roman" w:cs="Times New Roman"/>
          <w:color w:val="000000"/>
          <w:sz w:val="24"/>
          <w:szCs w:val="24"/>
          <w:vertAlign w:val="subscript"/>
          <w:lang w:eastAsia="pt-BR"/>
        </w:rPr>
        <w:t xml:space="preserve">95 </w:t>
      </w:r>
      <w:r w:rsidRPr="00FF330A">
        <w:rPr>
          <w:rFonts w:ascii="Times New Roman" w:eastAsia="Times New Roman" w:hAnsi="Times New Roman" w:cs="Times New Roman"/>
          <w:color w:val="000000"/>
          <w:sz w:val="24"/>
          <w:szCs w:val="24"/>
          <w:lang w:eastAsia="pt-BR"/>
        </w:rPr>
        <w:t>nas microbacias. Os triângulos pretos representam as estações fluviométricas localizadas na bacia, enquanto as diferentes cores das linhas ilustram as vazões ao longo do rio.</w:t>
      </w:r>
    </w:p>
    <w:p w14:paraId="78FDB4DF" w14:textId="77777777" w:rsidR="00756A7C" w:rsidRPr="00FF330A" w:rsidRDefault="00756A7C" w:rsidP="00FF330A">
      <w:pPr>
        <w:tabs>
          <w:tab w:val="left" w:pos="3686"/>
        </w:tabs>
        <w:spacing w:line="360" w:lineRule="auto"/>
        <w:jc w:val="both"/>
        <w:rPr>
          <w:rFonts w:ascii="Times New Roman" w:hAnsi="Times New Roman" w:cs="Times New Roman"/>
          <w:sz w:val="24"/>
          <w:szCs w:val="24"/>
        </w:rPr>
      </w:pPr>
    </w:p>
    <w:p w14:paraId="344BFFBD" w14:textId="621185E4" w:rsidR="00237F64" w:rsidRPr="00FF330A" w:rsidRDefault="00237F64" w:rsidP="00FF330A">
      <w:pPr>
        <w:tabs>
          <w:tab w:val="left" w:pos="3686"/>
        </w:tabs>
        <w:spacing w:line="360" w:lineRule="auto"/>
        <w:jc w:val="both"/>
        <w:rPr>
          <w:rFonts w:ascii="Times New Roman" w:hAnsi="Times New Roman" w:cs="Times New Roman"/>
          <w:sz w:val="24"/>
          <w:szCs w:val="24"/>
        </w:rPr>
      </w:pPr>
      <w:r w:rsidRPr="00FF330A">
        <w:rPr>
          <w:rFonts w:ascii="Times New Roman" w:hAnsi="Times New Roman" w:cs="Times New Roman"/>
          <w:noProof/>
          <w:color w:val="000000"/>
          <w:sz w:val="24"/>
          <w:szCs w:val="24"/>
          <w:bdr w:val="none" w:sz="0" w:space="0" w:color="auto" w:frame="1"/>
        </w:rPr>
        <w:lastRenderedPageBreak/>
        <w:drawing>
          <wp:inline distT="0" distB="0" distL="0" distR="0" wp14:anchorId="3ED0348C" wp14:editId="1AB6864B">
            <wp:extent cx="5398770" cy="518414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8770" cy="5184140"/>
                    </a:xfrm>
                    <a:prstGeom prst="rect">
                      <a:avLst/>
                    </a:prstGeom>
                    <a:noFill/>
                    <a:ln>
                      <a:noFill/>
                    </a:ln>
                  </pic:spPr>
                </pic:pic>
              </a:graphicData>
            </a:graphic>
          </wp:inline>
        </w:drawing>
      </w:r>
    </w:p>
    <w:p w14:paraId="18FE6764" w14:textId="45FDF67D" w:rsidR="00237F64" w:rsidRDefault="00237F64" w:rsidP="00756A7C">
      <w:pPr>
        <w:pStyle w:val="NormalWeb"/>
        <w:spacing w:before="0" w:beforeAutospacing="0" w:after="160" w:afterAutospacing="0" w:line="276" w:lineRule="auto"/>
        <w:jc w:val="both"/>
        <w:rPr>
          <w:color w:val="000000"/>
        </w:rPr>
      </w:pPr>
      <w:r w:rsidRPr="00756A7C">
        <w:rPr>
          <w:b/>
          <w:bCs/>
          <w:color w:val="000000"/>
        </w:rPr>
        <w:t>Figura 2</w:t>
      </w:r>
      <w:r w:rsidRPr="00FF330A">
        <w:rPr>
          <w:color w:val="000000"/>
        </w:rPr>
        <w:t>. Localização das outorgas de uso superficial na bacia do Rio das Mortes. Os círculos marrons representam as outorgas não consuntivas, enquanto os círculos verdes indicam as outorgas destinadas à irrigação. Os triângulos pretos correspondem às estações fluviométricas, e a linha azul representa a hidrografia da bacia.</w:t>
      </w:r>
    </w:p>
    <w:p w14:paraId="25A642C0" w14:textId="77777777" w:rsidR="00756A7C" w:rsidRPr="00FF330A" w:rsidRDefault="00756A7C" w:rsidP="00756A7C">
      <w:pPr>
        <w:pStyle w:val="NormalWeb"/>
        <w:spacing w:before="0" w:beforeAutospacing="0" w:after="160" w:afterAutospacing="0" w:line="276" w:lineRule="auto"/>
        <w:jc w:val="both"/>
        <w:rPr>
          <w:color w:val="000000"/>
        </w:rPr>
      </w:pPr>
    </w:p>
    <w:p w14:paraId="3AE6059B" w14:textId="7F2B7E68" w:rsidR="006F074C" w:rsidRPr="00D769E8" w:rsidRDefault="006F074C" w:rsidP="00D769E8">
      <w:pPr>
        <w:pStyle w:val="NormalWeb"/>
        <w:numPr>
          <w:ilvl w:val="1"/>
          <w:numId w:val="1"/>
        </w:numPr>
        <w:spacing w:before="0" w:beforeAutospacing="0" w:after="160" w:afterAutospacing="0" w:line="360" w:lineRule="auto"/>
        <w:ind w:left="426"/>
        <w:jc w:val="both"/>
        <w:rPr>
          <w:b/>
          <w:bCs/>
        </w:rPr>
      </w:pPr>
      <w:r w:rsidRPr="00D769E8">
        <w:rPr>
          <w:b/>
          <w:bCs/>
          <w:color w:val="000000"/>
        </w:rPr>
        <w:t>Cálculo da disponibilidade hídrica e potencial de expansão da área irrigada Rio das Mortes</w:t>
      </w:r>
    </w:p>
    <w:p w14:paraId="48BF4896" w14:textId="3613836C" w:rsidR="006F074C" w:rsidRPr="00FF330A" w:rsidRDefault="006F074C" w:rsidP="00A71AE2">
      <w:pPr>
        <w:pStyle w:val="NormalWeb"/>
        <w:spacing w:before="0" w:beforeAutospacing="0" w:after="160" w:afterAutospacing="0" w:line="360" w:lineRule="auto"/>
        <w:ind w:firstLine="708"/>
        <w:jc w:val="both"/>
        <w:rPr>
          <w:color w:val="000000"/>
        </w:rPr>
      </w:pPr>
      <w:r w:rsidRPr="00FF330A">
        <w:rPr>
          <w:color w:val="000000"/>
        </w:rPr>
        <w:t xml:space="preserve">A estimativa tem como objetivo encontrar o maior valor de vazão utilizado para irrigar um </w:t>
      </w:r>
      <w:r w:rsidR="007B6F32" w:rsidRPr="00FF330A">
        <w:rPr>
          <w:color w:val="000000"/>
        </w:rPr>
        <w:t>hectare de</w:t>
      </w:r>
      <w:r w:rsidRPr="00FF330A">
        <w:rPr>
          <w:color w:val="000000"/>
        </w:rPr>
        <w:t xml:space="preserve"> área, máxima vazão </w:t>
      </w:r>
      <w:r w:rsidR="007B6F32" w:rsidRPr="00FF330A">
        <w:rPr>
          <w:color w:val="000000"/>
        </w:rPr>
        <w:t>específica</w:t>
      </w:r>
      <w:r w:rsidRPr="00FF330A">
        <w:rPr>
          <w:color w:val="000000"/>
        </w:rPr>
        <w:t xml:space="preserve"> de irrigação (</w:t>
      </w:r>
      <w:proofErr w:type="spellStart"/>
      <w:r w:rsidRPr="00FF330A">
        <w:rPr>
          <w:color w:val="000000"/>
        </w:rPr>
        <w:t>q</w:t>
      </w:r>
      <w:r w:rsidRPr="00FF330A">
        <w:rPr>
          <w:color w:val="000000"/>
          <w:vertAlign w:val="subscript"/>
        </w:rPr>
        <w:t>imax</w:t>
      </w:r>
      <w:proofErr w:type="spellEnd"/>
      <w:r w:rsidRPr="00FF330A">
        <w:rPr>
          <w:color w:val="000000"/>
        </w:rPr>
        <w:t>), ao longo das séries históricas.</w:t>
      </w:r>
      <w:r w:rsidR="00A71AE2">
        <w:rPr>
          <w:color w:val="000000"/>
        </w:rPr>
        <w:t xml:space="preserve"> </w:t>
      </w:r>
      <w:r w:rsidRPr="00FF330A">
        <w:rPr>
          <w:color w:val="000000"/>
        </w:rPr>
        <w:t xml:space="preserve">Para o </w:t>
      </w:r>
      <w:r w:rsidR="007B6F32" w:rsidRPr="00FF330A">
        <w:rPr>
          <w:color w:val="000000"/>
        </w:rPr>
        <w:t>cálculo</w:t>
      </w:r>
      <w:r w:rsidRPr="00FF330A">
        <w:rPr>
          <w:color w:val="000000"/>
        </w:rPr>
        <w:t xml:space="preserve"> da </w:t>
      </w:r>
      <w:proofErr w:type="spellStart"/>
      <w:r w:rsidRPr="00FF330A">
        <w:rPr>
          <w:color w:val="000000"/>
        </w:rPr>
        <w:t>q</w:t>
      </w:r>
      <w:r w:rsidRPr="00FF330A">
        <w:rPr>
          <w:color w:val="000000"/>
          <w:vertAlign w:val="subscript"/>
        </w:rPr>
        <w:t>imax</w:t>
      </w:r>
      <w:proofErr w:type="spellEnd"/>
      <w:r w:rsidR="00C339C7" w:rsidRPr="00FF330A">
        <w:rPr>
          <w:color w:val="000000"/>
        </w:rPr>
        <w:t>,</w:t>
      </w:r>
      <w:r w:rsidR="00E40C18">
        <w:rPr>
          <w:color w:val="000000"/>
        </w:rPr>
        <w:t xml:space="preserve"> </w:t>
      </w:r>
      <w:r w:rsidR="00681777">
        <w:rPr>
          <w:color w:val="000000"/>
        </w:rPr>
        <w:t>(</w:t>
      </w:r>
      <w:r w:rsidR="00E40C18">
        <w:rPr>
          <w:color w:val="000000"/>
        </w:rPr>
        <w:t>E</w:t>
      </w:r>
      <w:r w:rsidR="00C339C7" w:rsidRPr="00FF330A">
        <w:rPr>
          <w:color w:val="000000"/>
        </w:rPr>
        <w:t>quação 1</w:t>
      </w:r>
      <w:r w:rsidR="00681777">
        <w:rPr>
          <w:color w:val="000000"/>
        </w:rPr>
        <w:t>)</w:t>
      </w:r>
      <w:r w:rsidR="00C339C7" w:rsidRPr="00FF330A">
        <w:rPr>
          <w:color w:val="000000"/>
        </w:rPr>
        <w:t xml:space="preserve"> </w:t>
      </w:r>
      <w:r w:rsidRPr="00FF330A">
        <w:rPr>
          <w:color w:val="000000"/>
        </w:rPr>
        <w:t xml:space="preserve">foi dividido o pico de vazão mensal para irrigação da série </w:t>
      </w:r>
      <w:r w:rsidR="007B6F32" w:rsidRPr="00FF330A">
        <w:rPr>
          <w:color w:val="000000"/>
        </w:rPr>
        <w:t>histórica</w:t>
      </w:r>
      <w:r w:rsidRPr="00FF330A">
        <w:rPr>
          <w:color w:val="000000"/>
        </w:rPr>
        <w:t xml:space="preserve"> de 2001 a 2022</w:t>
      </w:r>
      <w:r w:rsidR="00681777">
        <w:rPr>
          <w:color w:val="000000"/>
        </w:rPr>
        <w:t xml:space="preserve"> (</w:t>
      </w:r>
      <w:proofErr w:type="spellStart"/>
      <w:r w:rsidR="00681777">
        <w:rPr>
          <w:color w:val="000000"/>
        </w:rPr>
        <w:t>Q</w:t>
      </w:r>
      <w:r w:rsidR="00681777" w:rsidRPr="00681777">
        <w:rPr>
          <w:color w:val="000000"/>
          <w:vertAlign w:val="subscript"/>
        </w:rPr>
        <w:t>maxirri</w:t>
      </w:r>
      <w:proofErr w:type="spellEnd"/>
      <w:r w:rsidR="00681777">
        <w:rPr>
          <w:color w:val="000000"/>
        </w:rPr>
        <w:t>)</w:t>
      </w:r>
      <w:r w:rsidR="007B6F32" w:rsidRPr="00FF330A">
        <w:rPr>
          <w:color w:val="000000"/>
        </w:rPr>
        <w:t xml:space="preserve">, calculada na </w:t>
      </w:r>
      <w:r w:rsidR="009F28CB">
        <w:rPr>
          <w:color w:val="000000"/>
        </w:rPr>
        <w:t>Seção</w:t>
      </w:r>
      <w:r w:rsidR="007B6F32" w:rsidRPr="00FF330A">
        <w:rPr>
          <w:color w:val="000000"/>
        </w:rPr>
        <w:t xml:space="preserve"> 3</w:t>
      </w:r>
      <w:r w:rsidR="00174F72">
        <w:rPr>
          <w:color w:val="000000"/>
        </w:rPr>
        <w:t>.3</w:t>
      </w:r>
      <w:r w:rsidR="007B6F32" w:rsidRPr="00FF330A">
        <w:rPr>
          <w:color w:val="000000"/>
        </w:rPr>
        <w:t xml:space="preserve">, </w:t>
      </w:r>
      <w:r w:rsidR="00681777" w:rsidRPr="00FF330A">
        <w:rPr>
          <w:color w:val="000000"/>
        </w:rPr>
        <w:t>pela</w:t>
      </w:r>
      <w:r w:rsidR="007B6F32" w:rsidRPr="00FF330A">
        <w:rPr>
          <w:color w:val="000000"/>
        </w:rPr>
        <w:t xml:space="preserve"> área efetivamente irrigada do pico do ano</w:t>
      </w:r>
      <w:r w:rsidR="00681777">
        <w:rPr>
          <w:color w:val="000000"/>
        </w:rPr>
        <w:t xml:space="preserve"> (</w:t>
      </w:r>
      <w:proofErr w:type="spellStart"/>
      <w:r w:rsidR="00681777">
        <w:rPr>
          <w:color w:val="000000"/>
        </w:rPr>
        <w:t>A</w:t>
      </w:r>
      <w:r w:rsidR="00681777" w:rsidRPr="00681777">
        <w:rPr>
          <w:color w:val="000000"/>
          <w:vertAlign w:val="subscript"/>
        </w:rPr>
        <w:t>irri</w:t>
      </w:r>
      <w:proofErr w:type="spellEnd"/>
      <w:r w:rsidR="00681777">
        <w:rPr>
          <w:color w:val="000000"/>
        </w:rPr>
        <w:t>)</w:t>
      </w:r>
      <w:r w:rsidR="007B6F32" w:rsidRPr="00FF330A">
        <w:rPr>
          <w:color w:val="000000"/>
        </w:rPr>
        <w:t>.</w:t>
      </w:r>
    </w:p>
    <w:tbl>
      <w:tblPr>
        <w:tblW w:w="9029" w:type="dxa"/>
        <w:tblLayout w:type="fixed"/>
        <w:tblLook w:val="0600" w:firstRow="0" w:lastRow="0" w:firstColumn="0" w:lastColumn="0" w:noHBand="1" w:noVBand="1"/>
      </w:tblPr>
      <w:tblGrid>
        <w:gridCol w:w="5812"/>
        <w:gridCol w:w="3217"/>
      </w:tblGrid>
      <w:tr w:rsidR="007B6F32" w:rsidRPr="00FF330A" w14:paraId="2F000086" w14:textId="77777777" w:rsidTr="00353761">
        <w:tc>
          <w:tcPr>
            <w:tcW w:w="5812" w:type="dxa"/>
            <w:shd w:val="clear" w:color="auto" w:fill="auto"/>
            <w:tcMar>
              <w:top w:w="100" w:type="dxa"/>
              <w:left w:w="100" w:type="dxa"/>
              <w:bottom w:w="100" w:type="dxa"/>
              <w:right w:w="100" w:type="dxa"/>
            </w:tcMar>
          </w:tcPr>
          <w:p w14:paraId="698325CB" w14:textId="05C78088" w:rsidR="007B6F32" w:rsidRPr="00FF330A" w:rsidRDefault="00B11183" w:rsidP="00FF330A">
            <w:pPr>
              <w:widowControl w:val="0"/>
              <w:pBdr>
                <w:top w:val="nil"/>
                <w:left w:val="nil"/>
                <w:bottom w:val="nil"/>
                <w:right w:val="nil"/>
                <w:between w:val="nil"/>
              </w:pBdr>
              <w:spacing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imax</m:t>
                    </m:r>
                  </m:sub>
                </m:sSub>
                <m:r>
                  <w:rPr>
                    <w:rFonts w:ascii="Cambria Math" w:hAnsi="Cambria Math" w:cs="Times New Roman"/>
                    <w:sz w:val="24"/>
                    <w:szCs w:val="24"/>
                  </w:rPr>
                  <m:t xml:space="preserve"> = </m:t>
                </m:r>
                <m:f>
                  <m:fPr>
                    <m:ctrlPr>
                      <w:rPr>
                        <w:rFonts w:ascii="Cambria Math" w:hAnsi="Cambria Math" w:cs="Times New Roman"/>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maxirri</m:t>
                        </m:r>
                      </m:sub>
                    </m:sSub>
                  </m:num>
                  <m:den>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irri</m:t>
                        </m:r>
                      </m:sub>
                    </m:sSub>
                  </m:den>
                </m:f>
              </m:oMath>
            </m:oMathPara>
          </w:p>
        </w:tc>
        <w:tc>
          <w:tcPr>
            <w:tcW w:w="3217" w:type="dxa"/>
            <w:shd w:val="clear" w:color="auto" w:fill="auto"/>
            <w:tcMar>
              <w:top w:w="100" w:type="dxa"/>
              <w:left w:w="100" w:type="dxa"/>
              <w:bottom w:w="100" w:type="dxa"/>
              <w:right w:w="100" w:type="dxa"/>
            </w:tcMar>
          </w:tcPr>
          <w:p w14:paraId="674DCEB6" w14:textId="4B102349" w:rsidR="007B6F32" w:rsidRPr="00FF330A" w:rsidRDefault="007B6F32" w:rsidP="00FF330A">
            <w:pPr>
              <w:pStyle w:val="Legenda"/>
              <w:keepNext/>
              <w:spacing w:line="360" w:lineRule="auto"/>
              <w:jc w:val="left"/>
              <w:rPr>
                <w:rFonts w:ascii="Times New Roman" w:eastAsia="Times New Roman" w:hAnsi="Times New Roman" w:cs="Times New Roman"/>
              </w:rPr>
            </w:pPr>
            <w:r w:rsidRPr="00FF330A">
              <w:rPr>
                <w:rFonts w:ascii="Times New Roman" w:hAnsi="Times New Roman" w:cs="Times New Roman"/>
              </w:rPr>
              <w:t>(</w:t>
            </w:r>
            <w:r w:rsidR="00C339C7" w:rsidRPr="00FF330A">
              <w:rPr>
                <w:rFonts w:ascii="Times New Roman" w:hAnsi="Times New Roman" w:cs="Times New Roman"/>
              </w:rPr>
              <w:t>1</w:t>
            </w:r>
            <w:r w:rsidRPr="00FF330A">
              <w:rPr>
                <w:rFonts w:ascii="Times New Roman" w:hAnsi="Times New Roman" w:cs="Times New Roman"/>
              </w:rPr>
              <w:t>)</w:t>
            </w:r>
          </w:p>
        </w:tc>
      </w:tr>
    </w:tbl>
    <w:p w14:paraId="47D8F6DC" w14:textId="3599667A" w:rsidR="007B6F32" w:rsidRDefault="007B6F32" w:rsidP="00FF330A">
      <w:pPr>
        <w:pStyle w:val="NormalWeb"/>
        <w:spacing w:before="0" w:beforeAutospacing="0" w:after="160" w:afterAutospacing="0" w:line="360" w:lineRule="auto"/>
        <w:jc w:val="both"/>
      </w:pPr>
      <w:r w:rsidRPr="00FF330A">
        <w:t xml:space="preserve">Em que, </w:t>
      </w:r>
      <w:proofErr w:type="spellStart"/>
      <w:r w:rsidRPr="00FF330A">
        <w:t>q</w:t>
      </w:r>
      <w:r w:rsidRPr="00FF330A">
        <w:rPr>
          <w:vertAlign w:val="subscript"/>
        </w:rPr>
        <w:t>imax</w:t>
      </w:r>
      <w:proofErr w:type="spellEnd"/>
      <w:r w:rsidRPr="00FF330A">
        <w:t xml:space="preserve"> é </w:t>
      </w:r>
      <w:bookmarkStart w:id="0" w:name="_Hlk174350348"/>
      <w:r w:rsidRPr="00FF330A">
        <w:t xml:space="preserve">a máxima vazão especifica de irrigação </w:t>
      </w:r>
      <w:bookmarkEnd w:id="0"/>
      <w:r w:rsidRPr="00FF330A">
        <w:t>(m³/</w:t>
      </w:r>
      <w:proofErr w:type="spellStart"/>
      <w:proofErr w:type="gramStart"/>
      <w:r w:rsidRPr="00FF330A">
        <w:t>s.ha</w:t>
      </w:r>
      <w:proofErr w:type="spellEnd"/>
      <w:proofErr w:type="gramEnd"/>
      <w:r w:rsidRPr="00FF330A">
        <w:t xml:space="preserve">), </w:t>
      </w:r>
      <w:proofErr w:type="spellStart"/>
      <w:r w:rsidRPr="00FF330A">
        <w:t>Q</w:t>
      </w:r>
      <w:r w:rsidRPr="00FF330A">
        <w:rPr>
          <w:vertAlign w:val="subscript"/>
        </w:rPr>
        <w:t>maxirri</w:t>
      </w:r>
      <w:proofErr w:type="spellEnd"/>
      <w:r w:rsidRPr="00FF330A">
        <w:t xml:space="preserve"> é o pico de vazão mensal utilizado para irrigação (m³/s) e </w:t>
      </w:r>
      <w:proofErr w:type="spellStart"/>
      <w:r w:rsidRPr="00FF330A">
        <w:t>A</w:t>
      </w:r>
      <w:r w:rsidRPr="00FF330A">
        <w:rPr>
          <w:vertAlign w:val="subscript"/>
        </w:rPr>
        <w:t>irri</w:t>
      </w:r>
      <w:proofErr w:type="spellEnd"/>
      <w:r w:rsidRPr="00FF330A">
        <w:t xml:space="preserve"> é a área efetivamente irrigada (ha).</w:t>
      </w:r>
    </w:p>
    <w:p w14:paraId="4BD1CB7A" w14:textId="77777777" w:rsidR="000F78C4" w:rsidRPr="00FF330A" w:rsidRDefault="000F78C4" w:rsidP="00FF330A">
      <w:pPr>
        <w:pStyle w:val="NormalWeb"/>
        <w:spacing w:before="0" w:beforeAutospacing="0" w:after="160" w:afterAutospacing="0" w:line="360" w:lineRule="auto"/>
        <w:jc w:val="both"/>
      </w:pPr>
    </w:p>
    <w:p w14:paraId="6C3CCF50" w14:textId="77DCE130" w:rsidR="00593C23" w:rsidRPr="007F5EEB" w:rsidRDefault="00A85464" w:rsidP="00FD4EAE">
      <w:pPr>
        <w:pStyle w:val="PargrafodaLista"/>
        <w:numPr>
          <w:ilvl w:val="0"/>
          <w:numId w:val="1"/>
        </w:numPr>
        <w:spacing w:line="360" w:lineRule="auto"/>
        <w:jc w:val="both"/>
        <w:rPr>
          <w:rFonts w:ascii="Times New Roman" w:hAnsi="Times New Roman" w:cs="Times New Roman"/>
          <w:b/>
          <w:bCs/>
          <w:sz w:val="24"/>
          <w:szCs w:val="24"/>
          <w:lang w:val="en-US"/>
        </w:rPr>
      </w:pPr>
      <w:proofErr w:type="spellStart"/>
      <w:r w:rsidRPr="007F5EEB">
        <w:rPr>
          <w:rFonts w:ascii="Times New Roman" w:hAnsi="Times New Roman" w:cs="Times New Roman"/>
          <w:b/>
          <w:bCs/>
          <w:sz w:val="24"/>
          <w:szCs w:val="24"/>
          <w:lang w:val="en-US"/>
        </w:rPr>
        <w:t>Resultados</w:t>
      </w:r>
      <w:proofErr w:type="spellEnd"/>
    </w:p>
    <w:p w14:paraId="4F4BCD77" w14:textId="6EA5C9E1" w:rsidR="00237F64" w:rsidRDefault="00237F64" w:rsidP="00E83D29">
      <w:pPr>
        <w:pStyle w:val="NormalWeb"/>
        <w:spacing w:before="0" w:beforeAutospacing="0" w:after="160" w:afterAutospacing="0" w:line="360" w:lineRule="auto"/>
        <w:ind w:firstLine="708"/>
        <w:jc w:val="both"/>
        <w:rPr>
          <w:color w:val="000000"/>
        </w:rPr>
      </w:pPr>
      <w:r w:rsidRPr="00FF330A">
        <w:rPr>
          <w:color w:val="000000"/>
        </w:rPr>
        <w:t xml:space="preserve">A bacia do Rio das Mortes tem um total de </w:t>
      </w:r>
      <w:r w:rsidR="00150183">
        <w:rPr>
          <w:color w:val="000000"/>
        </w:rPr>
        <w:t xml:space="preserve">vazão </w:t>
      </w:r>
      <w:r w:rsidR="00A75AD9" w:rsidRPr="00FF330A">
        <w:rPr>
          <w:color w:val="000000"/>
        </w:rPr>
        <w:t>outorgada</w:t>
      </w:r>
      <w:r w:rsidR="00A75AD9">
        <w:rPr>
          <w:color w:val="000000"/>
        </w:rPr>
        <w:t xml:space="preserve"> </w:t>
      </w:r>
      <w:r w:rsidR="00150183">
        <w:rPr>
          <w:color w:val="000000"/>
        </w:rPr>
        <w:t xml:space="preserve">de </w:t>
      </w:r>
      <w:r w:rsidRPr="00FF330A">
        <w:rPr>
          <w:color w:val="000000"/>
        </w:rPr>
        <w:t xml:space="preserve">104,96 m³/s, em que 100,18 m³/s são para </w:t>
      </w:r>
      <w:r w:rsidR="000D51D7">
        <w:rPr>
          <w:color w:val="000000"/>
        </w:rPr>
        <w:t xml:space="preserve">uso </w:t>
      </w:r>
      <w:r w:rsidRPr="00FF330A">
        <w:rPr>
          <w:color w:val="000000"/>
        </w:rPr>
        <w:t xml:space="preserve">de irrigação. Porém, a bacia ainda tem a possibilidade de aumentar a quantidade de outorgas em 187,39 m³/s sem ultrapassar o valor </w:t>
      </w:r>
      <w:r w:rsidR="000D51D7">
        <w:rPr>
          <w:color w:val="000000"/>
        </w:rPr>
        <w:t>determinado</w:t>
      </w:r>
      <w:r w:rsidRPr="00FF330A">
        <w:rPr>
          <w:color w:val="000000"/>
        </w:rPr>
        <w:t xml:space="preserve"> pela legislação estadual</w:t>
      </w:r>
      <w:r w:rsidR="003322AB">
        <w:rPr>
          <w:color w:val="000000"/>
        </w:rPr>
        <w:t xml:space="preserve"> (Tabela 1)</w:t>
      </w:r>
      <w:r w:rsidRPr="00FF330A">
        <w:rPr>
          <w:color w:val="000000"/>
        </w:rPr>
        <w:t>.</w:t>
      </w:r>
    </w:p>
    <w:p w14:paraId="5F7F9DD2" w14:textId="77777777" w:rsidR="00E83D29" w:rsidRPr="00FF330A" w:rsidRDefault="00E83D29" w:rsidP="00E83D29">
      <w:pPr>
        <w:pStyle w:val="NormalWeb"/>
        <w:spacing w:before="0" w:beforeAutospacing="0" w:after="160" w:afterAutospacing="0" w:line="360" w:lineRule="auto"/>
        <w:ind w:firstLine="708"/>
        <w:jc w:val="both"/>
      </w:pPr>
    </w:p>
    <w:p w14:paraId="2A162766" w14:textId="504E5A33" w:rsidR="00237F64" w:rsidRPr="00FF330A" w:rsidRDefault="00237F64" w:rsidP="00E83D29">
      <w:pPr>
        <w:pStyle w:val="NormalWeb"/>
        <w:spacing w:before="0" w:beforeAutospacing="0" w:after="160" w:afterAutospacing="0" w:line="276" w:lineRule="auto"/>
        <w:jc w:val="both"/>
      </w:pPr>
      <w:r w:rsidRPr="00E83D29">
        <w:rPr>
          <w:b/>
          <w:bCs/>
          <w:color w:val="000000"/>
        </w:rPr>
        <w:t>Tabela 1.</w:t>
      </w:r>
      <w:r w:rsidRPr="00FF330A">
        <w:rPr>
          <w:color w:val="000000"/>
        </w:rPr>
        <w:t xml:space="preserve"> Valor estimado de Q</w:t>
      </w:r>
      <w:r w:rsidRPr="003322AB">
        <w:rPr>
          <w:color w:val="000000"/>
          <w:vertAlign w:val="subscript"/>
        </w:rPr>
        <w:t>95</w:t>
      </w:r>
      <w:r w:rsidRPr="00FF330A">
        <w:rPr>
          <w:color w:val="000000"/>
        </w:rPr>
        <w:t xml:space="preserve"> para a bacia como um todo, vazão outorgável conforme a legislação estadual de Mato Grosso (70% Q</w:t>
      </w:r>
      <w:r w:rsidRPr="00FF330A">
        <w:rPr>
          <w:color w:val="000000"/>
          <w:vertAlign w:val="subscript"/>
        </w:rPr>
        <w:t>95</w:t>
      </w:r>
      <w:r w:rsidRPr="00FF330A">
        <w:rPr>
          <w:color w:val="000000"/>
        </w:rPr>
        <w:t>), vazão total já concedida para outorga (</w:t>
      </w:r>
      <w:proofErr w:type="spellStart"/>
      <w:r w:rsidRPr="00FF330A">
        <w:rPr>
          <w:color w:val="000000"/>
        </w:rPr>
        <w:t>Q</w:t>
      </w:r>
      <w:r w:rsidRPr="00FF330A">
        <w:rPr>
          <w:color w:val="000000"/>
          <w:vertAlign w:val="subscript"/>
        </w:rPr>
        <w:t>out</w:t>
      </w:r>
      <w:proofErr w:type="spellEnd"/>
      <w:r w:rsidRPr="00FF330A">
        <w:rPr>
          <w:color w:val="000000"/>
        </w:rPr>
        <w:t>), vazão concedida para outorgas de irrigação (</w:t>
      </w:r>
      <w:proofErr w:type="spellStart"/>
      <w:r w:rsidRPr="00FF330A">
        <w:rPr>
          <w:color w:val="000000"/>
        </w:rPr>
        <w:t>Q</w:t>
      </w:r>
      <w:r w:rsidRPr="00FF330A">
        <w:rPr>
          <w:color w:val="000000"/>
          <w:vertAlign w:val="subscript"/>
        </w:rPr>
        <w:t>outirr</w:t>
      </w:r>
      <w:proofErr w:type="spellEnd"/>
      <w:r w:rsidRPr="00FF330A">
        <w:rPr>
          <w:color w:val="000000"/>
        </w:rPr>
        <w:t>), e vazão remanescente com possibilidade de novas outorgas (70% Q</w:t>
      </w:r>
      <w:r w:rsidRPr="00FF330A">
        <w:rPr>
          <w:color w:val="000000"/>
          <w:vertAlign w:val="subscript"/>
        </w:rPr>
        <w:t xml:space="preserve">95 </w:t>
      </w:r>
      <w:r w:rsidRPr="00FF330A">
        <w:rPr>
          <w:color w:val="000000"/>
        </w:rPr>
        <w:t xml:space="preserve">- </w:t>
      </w:r>
      <w:proofErr w:type="spellStart"/>
      <w:r w:rsidRPr="00FF330A">
        <w:rPr>
          <w:color w:val="000000"/>
        </w:rPr>
        <w:t>Q</w:t>
      </w:r>
      <w:r w:rsidR="00704C4A" w:rsidRPr="00C40FE8">
        <w:rPr>
          <w:color w:val="000000"/>
          <w:vertAlign w:val="subscript"/>
        </w:rPr>
        <w:t>out</w:t>
      </w:r>
      <w:proofErr w:type="spellEnd"/>
      <w:r w:rsidRPr="00FF330A">
        <w:rPr>
          <w:color w:val="000000"/>
        </w:rPr>
        <w:t>).</w:t>
      </w:r>
    </w:p>
    <w:tbl>
      <w:tblPr>
        <w:tblStyle w:val="SombreamentoClaro1"/>
        <w:tblW w:w="9030" w:type="dxa"/>
        <w:tblLayout w:type="fixed"/>
        <w:tblLook w:val="04A0" w:firstRow="1" w:lastRow="0" w:firstColumn="1" w:lastColumn="0" w:noHBand="0" w:noVBand="1"/>
      </w:tblPr>
      <w:tblGrid>
        <w:gridCol w:w="1738"/>
        <w:gridCol w:w="1739"/>
        <w:gridCol w:w="149"/>
        <w:gridCol w:w="1889"/>
        <w:gridCol w:w="1664"/>
        <w:gridCol w:w="1851"/>
      </w:tblGrid>
      <w:tr w:rsidR="00593C23" w:rsidRPr="00FF330A" w14:paraId="62DC5043" w14:textId="77777777" w:rsidTr="00A85464">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0C0FAD7C" w14:textId="77777777" w:rsidR="00704C4A" w:rsidRDefault="00593C23" w:rsidP="00FF330A">
            <w:pPr>
              <w:spacing w:line="360" w:lineRule="auto"/>
              <w:jc w:val="center"/>
              <w:rPr>
                <w:rFonts w:ascii="Times New Roman" w:eastAsia="Times New Roman" w:hAnsi="Times New Roman"/>
                <w:b w:val="0"/>
                <w:bCs w:val="0"/>
                <w:sz w:val="24"/>
                <w:szCs w:val="24"/>
                <w:vertAlign w:val="subscript"/>
              </w:rPr>
            </w:pPr>
            <w:r w:rsidRPr="00FF330A">
              <w:rPr>
                <w:rFonts w:ascii="Times New Roman" w:eastAsia="Times New Roman" w:hAnsi="Times New Roman"/>
                <w:sz w:val="24"/>
                <w:szCs w:val="24"/>
              </w:rPr>
              <w:t>Q</w:t>
            </w:r>
            <w:r w:rsidRPr="00FF330A">
              <w:rPr>
                <w:rFonts w:ascii="Times New Roman" w:eastAsia="Times New Roman" w:hAnsi="Times New Roman"/>
                <w:sz w:val="24"/>
                <w:szCs w:val="24"/>
                <w:vertAlign w:val="subscript"/>
              </w:rPr>
              <w:t xml:space="preserve">95 </w:t>
            </w:r>
          </w:p>
          <w:p w14:paraId="50D41F90" w14:textId="4A2BC41F" w:rsidR="00593C23" w:rsidRPr="00FF330A" w:rsidRDefault="00593C23" w:rsidP="00FF330A">
            <w:pPr>
              <w:spacing w:line="360" w:lineRule="auto"/>
              <w:jc w:val="center"/>
              <w:rPr>
                <w:rFonts w:ascii="Times New Roman" w:eastAsia="Times New Roman" w:hAnsi="Times New Roman"/>
                <w:sz w:val="24"/>
                <w:szCs w:val="24"/>
              </w:rPr>
            </w:pPr>
            <w:r w:rsidRPr="00FF330A">
              <w:rPr>
                <w:rFonts w:ascii="Times New Roman" w:eastAsia="Times New Roman" w:hAnsi="Times New Roman"/>
                <w:sz w:val="24"/>
                <w:szCs w:val="24"/>
              </w:rPr>
              <w:t>(m³/s)</w:t>
            </w:r>
          </w:p>
        </w:tc>
        <w:tc>
          <w:tcPr>
            <w:tcW w:w="1739" w:type="dxa"/>
            <w:shd w:val="clear" w:color="auto" w:fill="auto"/>
          </w:tcPr>
          <w:p w14:paraId="35B05EA6" w14:textId="77777777" w:rsidR="00704C4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vertAlign w:val="subscript"/>
              </w:rPr>
            </w:pPr>
            <w:r w:rsidRPr="00FF330A">
              <w:rPr>
                <w:rFonts w:ascii="Times New Roman" w:eastAsia="Times New Roman" w:hAnsi="Times New Roman"/>
                <w:sz w:val="24"/>
                <w:szCs w:val="24"/>
              </w:rPr>
              <w:t>70% Q</w:t>
            </w:r>
            <w:r w:rsidRPr="00FF330A">
              <w:rPr>
                <w:rFonts w:ascii="Times New Roman" w:eastAsia="Times New Roman" w:hAnsi="Times New Roman"/>
                <w:sz w:val="24"/>
                <w:szCs w:val="24"/>
                <w:vertAlign w:val="subscript"/>
              </w:rPr>
              <w:t xml:space="preserve">95 </w:t>
            </w:r>
          </w:p>
          <w:p w14:paraId="74CBC42E" w14:textId="757F74CA" w:rsidR="00593C23" w:rsidRPr="00FF330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(m³/s)</w:t>
            </w:r>
          </w:p>
        </w:tc>
        <w:tc>
          <w:tcPr>
            <w:tcW w:w="2038" w:type="dxa"/>
            <w:gridSpan w:val="2"/>
            <w:shd w:val="clear" w:color="auto" w:fill="auto"/>
          </w:tcPr>
          <w:p w14:paraId="36D71CFA" w14:textId="77777777" w:rsidR="00704C4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vertAlign w:val="subscript"/>
              </w:rPr>
            </w:pPr>
            <w:proofErr w:type="spellStart"/>
            <w:r w:rsidRPr="00FF330A">
              <w:rPr>
                <w:rFonts w:ascii="Times New Roman" w:eastAsia="Times New Roman" w:hAnsi="Times New Roman"/>
                <w:sz w:val="24"/>
                <w:szCs w:val="24"/>
              </w:rPr>
              <w:t>Q</w:t>
            </w:r>
            <w:r w:rsidR="00237F64" w:rsidRPr="00FF330A">
              <w:rPr>
                <w:rFonts w:ascii="Times New Roman" w:eastAsia="Times New Roman" w:hAnsi="Times New Roman"/>
                <w:sz w:val="24"/>
                <w:szCs w:val="24"/>
                <w:vertAlign w:val="subscript"/>
              </w:rPr>
              <w:t>out</w:t>
            </w:r>
            <w:proofErr w:type="spellEnd"/>
            <w:r w:rsidRPr="00FF330A">
              <w:rPr>
                <w:rFonts w:ascii="Times New Roman" w:eastAsia="Times New Roman" w:hAnsi="Times New Roman"/>
                <w:sz w:val="24"/>
                <w:szCs w:val="24"/>
                <w:vertAlign w:val="subscript"/>
              </w:rPr>
              <w:t xml:space="preserve"> </w:t>
            </w:r>
          </w:p>
          <w:p w14:paraId="483215FE" w14:textId="1BF23B3C" w:rsidR="00593C23" w:rsidRPr="00FF330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(m³/s)</w:t>
            </w:r>
          </w:p>
        </w:tc>
        <w:tc>
          <w:tcPr>
            <w:tcW w:w="1664" w:type="dxa"/>
            <w:shd w:val="clear" w:color="auto" w:fill="auto"/>
          </w:tcPr>
          <w:p w14:paraId="5323B561" w14:textId="77777777" w:rsidR="00704C4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sz w:val="24"/>
                <w:szCs w:val="24"/>
                <w:vertAlign w:val="subscript"/>
              </w:rPr>
            </w:pPr>
            <w:proofErr w:type="spellStart"/>
            <w:r w:rsidRPr="00FF330A">
              <w:rPr>
                <w:rFonts w:ascii="Times New Roman" w:eastAsia="Times New Roman" w:hAnsi="Times New Roman"/>
                <w:sz w:val="24"/>
                <w:szCs w:val="24"/>
              </w:rPr>
              <w:t>Q</w:t>
            </w:r>
            <w:r w:rsidR="00237F64" w:rsidRPr="00FF330A">
              <w:rPr>
                <w:rFonts w:ascii="Times New Roman" w:eastAsia="Times New Roman" w:hAnsi="Times New Roman"/>
                <w:sz w:val="24"/>
                <w:szCs w:val="24"/>
                <w:vertAlign w:val="subscript"/>
              </w:rPr>
              <w:t>outirri</w:t>
            </w:r>
            <w:proofErr w:type="spellEnd"/>
            <w:r w:rsidRPr="00FF330A">
              <w:rPr>
                <w:rFonts w:ascii="Times New Roman" w:eastAsia="Times New Roman" w:hAnsi="Times New Roman"/>
                <w:sz w:val="24"/>
                <w:szCs w:val="24"/>
                <w:vertAlign w:val="subscript"/>
              </w:rPr>
              <w:t xml:space="preserve"> </w:t>
            </w:r>
          </w:p>
          <w:p w14:paraId="44827FB9" w14:textId="062BA348" w:rsidR="00593C23" w:rsidRPr="00FF330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(m³/s)</w:t>
            </w:r>
          </w:p>
        </w:tc>
        <w:tc>
          <w:tcPr>
            <w:tcW w:w="1851" w:type="dxa"/>
            <w:shd w:val="clear" w:color="auto" w:fill="auto"/>
          </w:tcPr>
          <w:p w14:paraId="5D6ABCDD" w14:textId="6B0CFF98" w:rsidR="00593C23" w:rsidRPr="00FF330A" w:rsidRDefault="00593C23" w:rsidP="00FF330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70%Q</w:t>
            </w:r>
            <w:r w:rsidRPr="00FF330A">
              <w:rPr>
                <w:rFonts w:ascii="Times New Roman" w:eastAsia="Times New Roman" w:hAnsi="Times New Roman"/>
                <w:sz w:val="24"/>
                <w:szCs w:val="24"/>
                <w:vertAlign w:val="subscript"/>
              </w:rPr>
              <w:t>95</w:t>
            </w:r>
            <w:r w:rsidRPr="00FF330A">
              <w:rPr>
                <w:rFonts w:ascii="Times New Roman" w:eastAsia="Times New Roman" w:hAnsi="Times New Roman"/>
                <w:sz w:val="24"/>
                <w:szCs w:val="24"/>
              </w:rPr>
              <w:t xml:space="preserve"> </w:t>
            </w:r>
            <w:r w:rsidR="00237F64" w:rsidRPr="00FF330A">
              <w:rPr>
                <w:rFonts w:ascii="Times New Roman" w:eastAsia="Times New Roman" w:hAnsi="Times New Roman"/>
                <w:sz w:val="24"/>
                <w:szCs w:val="24"/>
              </w:rPr>
              <w:t>–</w:t>
            </w:r>
            <w:r w:rsidRPr="00FF330A">
              <w:rPr>
                <w:rFonts w:ascii="Times New Roman" w:eastAsia="Times New Roman" w:hAnsi="Times New Roman"/>
                <w:sz w:val="24"/>
                <w:szCs w:val="24"/>
              </w:rPr>
              <w:t xml:space="preserve"> </w:t>
            </w:r>
            <w:proofErr w:type="spellStart"/>
            <w:r w:rsidRPr="00FF330A">
              <w:rPr>
                <w:rFonts w:ascii="Times New Roman" w:eastAsia="Times New Roman" w:hAnsi="Times New Roman"/>
                <w:sz w:val="24"/>
                <w:szCs w:val="24"/>
              </w:rPr>
              <w:t>Q</w:t>
            </w:r>
            <w:r w:rsidR="00237F64" w:rsidRPr="00FF330A">
              <w:rPr>
                <w:rFonts w:ascii="Times New Roman" w:eastAsia="Times New Roman" w:hAnsi="Times New Roman"/>
                <w:sz w:val="24"/>
                <w:szCs w:val="24"/>
                <w:vertAlign w:val="subscript"/>
              </w:rPr>
              <w:t>out</w:t>
            </w:r>
            <w:proofErr w:type="spellEnd"/>
            <w:r w:rsidRPr="00FF330A">
              <w:rPr>
                <w:rFonts w:ascii="Times New Roman" w:eastAsia="Times New Roman" w:hAnsi="Times New Roman"/>
                <w:sz w:val="24"/>
                <w:szCs w:val="24"/>
                <w:vertAlign w:val="subscript"/>
              </w:rPr>
              <w:t xml:space="preserve"> </w:t>
            </w:r>
            <w:r w:rsidRPr="00FF330A">
              <w:rPr>
                <w:rFonts w:ascii="Times New Roman" w:eastAsia="Times New Roman" w:hAnsi="Times New Roman"/>
                <w:sz w:val="24"/>
                <w:szCs w:val="24"/>
              </w:rPr>
              <w:t>(m³/s)</w:t>
            </w:r>
          </w:p>
        </w:tc>
      </w:tr>
      <w:tr w:rsidR="00A85464" w:rsidRPr="00FF330A" w14:paraId="0753EC29" w14:textId="77777777" w:rsidTr="00A85464">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38" w:type="dxa"/>
            <w:shd w:val="clear" w:color="auto" w:fill="auto"/>
          </w:tcPr>
          <w:p w14:paraId="2AB273CC" w14:textId="730E1502" w:rsidR="00A85464" w:rsidRPr="00704C4A" w:rsidRDefault="00A85464" w:rsidP="00FF330A">
            <w:pPr>
              <w:spacing w:line="360" w:lineRule="auto"/>
              <w:jc w:val="center"/>
              <w:rPr>
                <w:rFonts w:ascii="Times New Roman" w:eastAsia="Times New Roman" w:hAnsi="Times New Roman"/>
                <w:b w:val="0"/>
                <w:bCs w:val="0"/>
                <w:sz w:val="24"/>
                <w:szCs w:val="24"/>
              </w:rPr>
            </w:pPr>
            <w:r w:rsidRPr="00704C4A">
              <w:rPr>
                <w:rFonts w:ascii="Times New Roman" w:eastAsia="Times New Roman" w:hAnsi="Times New Roman"/>
                <w:b w:val="0"/>
                <w:bCs w:val="0"/>
                <w:sz w:val="24"/>
                <w:szCs w:val="24"/>
              </w:rPr>
              <w:t>417</w:t>
            </w:r>
            <w:r w:rsidR="00237F64" w:rsidRPr="00704C4A">
              <w:rPr>
                <w:rFonts w:ascii="Times New Roman" w:eastAsia="Times New Roman" w:hAnsi="Times New Roman"/>
                <w:b w:val="0"/>
                <w:bCs w:val="0"/>
                <w:sz w:val="24"/>
                <w:szCs w:val="24"/>
              </w:rPr>
              <w:t>,</w:t>
            </w:r>
            <w:r w:rsidRPr="00704C4A">
              <w:rPr>
                <w:rFonts w:ascii="Times New Roman" w:eastAsia="Times New Roman" w:hAnsi="Times New Roman"/>
                <w:b w:val="0"/>
                <w:bCs w:val="0"/>
                <w:sz w:val="24"/>
                <w:szCs w:val="24"/>
              </w:rPr>
              <w:t>64</w:t>
            </w:r>
          </w:p>
        </w:tc>
        <w:tc>
          <w:tcPr>
            <w:tcW w:w="1888" w:type="dxa"/>
            <w:gridSpan w:val="2"/>
            <w:shd w:val="clear" w:color="auto" w:fill="auto"/>
          </w:tcPr>
          <w:p w14:paraId="6E542D10" w14:textId="4F948CEE" w:rsidR="00A85464" w:rsidRPr="00FF330A" w:rsidRDefault="00A85464" w:rsidP="00FF33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292</w:t>
            </w:r>
            <w:r w:rsidR="00237F64" w:rsidRPr="00FF330A">
              <w:rPr>
                <w:rFonts w:ascii="Times New Roman" w:eastAsia="Times New Roman" w:hAnsi="Times New Roman"/>
                <w:sz w:val="24"/>
                <w:szCs w:val="24"/>
              </w:rPr>
              <w:t>,</w:t>
            </w:r>
            <w:r w:rsidRPr="00FF330A">
              <w:rPr>
                <w:rFonts w:ascii="Times New Roman" w:eastAsia="Times New Roman" w:hAnsi="Times New Roman"/>
                <w:sz w:val="24"/>
                <w:szCs w:val="24"/>
              </w:rPr>
              <w:t>35</w:t>
            </w:r>
          </w:p>
        </w:tc>
        <w:tc>
          <w:tcPr>
            <w:tcW w:w="1889" w:type="dxa"/>
            <w:shd w:val="clear" w:color="auto" w:fill="auto"/>
          </w:tcPr>
          <w:p w14:paraId="7B27A51D" w14:textId="49C5173E" w:rsidR="00A85464" w:rsidRPr="00FF330A" w:rsidRDefault="00A85464" w:rsidP="00FF33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104</w:t>
            </w:r>
            <w:r w:rsidR="00237F64" w:rsidRPr="00FF330A">
              <w:rPr>
                <w:rFonts w:ascii="Times New Roman" w:eastAsia="Times New Roman" w:hAnsi="Times New Roman"/>
                <w:sz w:val="24"/>
                <w:szCs w:val="24"/>
              </w:rPr>
              <w:t>,</w:t>
            </w:r>
            <w:r w:rsidRPr="00FF330A">
              <w:rPr>
                <w:rFonts w:ascii="Times New Roman" w:eastAsia="Times New Roman" w:hAnsi="Times New Roman"/>
                <w:sz w:val="24"/>
                <w:szCs w:val="24"/>
              </w:rPr>
              <w:t>96</w:t>
            </w:r>
          </w:p>
        </w:tc>
        <w:tc>
          <w:tcPr>
            <w:tcW w:w="1664" w:type="dxa"/>
            <w:shd w:val="clear" w:color="auto" w:fill="auto"/>
          </w:tcPr>
          <w:p w14:paraId="3AF64505" w14:textId="29198309" w:rsidR="00A85464" w:rsidRPr="00FF330A" w:rsidRDefault="00A85464" w:rsidP="00FF33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100</w:t>
            </w:r>
            <w:r w:rsidR="00237F64" w:rsidRPr="00FF330A">
              <w:rPr>
                <w:rFonts w:ascii="Times New Roman" w:eastAsia="Times New Roman" w:hAnsi="Times New Roman"/>
                <w:sz w:val="24"/>
                <w:szCs w:val="24"/>
              </w:rPr>
              <w:t>,</w:t>
            </w:r>
            <w:r w:rsidRPr="00FF330A">
              <w:rPr>
                <w:rFonts w:ascii="Times New Roman" w:eastAsia="Times New Roman" w:hAnsi="Times New Roman"/>
                <w:sz w:val="24"/>
                <w:szCs w:val="24"/>
              </w:rPr>
              <w:t>18</w:t>
            </w:r>
          </w:p>
        </w:tc>
        <w:tc>
          <w:tcPr>
            <w:tcW w:w="1851" w:type="dxa"/>
            <w:shd w:val="clear" w:color="auto" w:fill="auto"/>
          </w:tcPr>
          <w:p w14:paraId="14C2917C" w14:textId="53BE6211" w:rsidR="00A85464" w:rsidRPr="00FF330A" w:rsidRDefault="00A85464" w:rsidP="00FF330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F330A">
              <w:rPr>
                <w:rFonts w:ascii="Times New Roman" w:eastAsia="Times New Roman" w:hAnsi="Times New Roman"/>
                <w:sz w:val="24"/>
                <w:szCs w:val="24"/>
              </w:rPr>
              <w:t>187</w:t>
            </w:r>
            <w:r w:rsidR="00237F64" w:rsidRPr="00FF330A">
              <w:rPr>
                <w:rFonts w:ascii="Times New Roman" w:eastAsia="Times New Roman" w:hAnsi="Times New Roman"/>
                <w:sz w:val="24"/>
                <w:szCs w:val="24"/>
              </w:rPr>
              <w:t>,</w:t>
            </w:r>
            <w:r w:rsidRPr="00FF330A">
              <w:rPr>
                <w:rFonts w:ascii="Times New Roman" w:eastAsia="Times New Roman" w:hAnsi="Times New Roman"/>
                <w:sz w:val="24"/>
                <w:szCs w:val="24"/>
              </w:rPr>
              <w:t>39</w:t>
            </w:r>
          </w:p>
        </w:tc>
      </w:tr>
    </w:tbl>
    <w:p w14:paraId="15F8E4C6" w14:textId="2D47F885" w:rsidR="00593C23" w:rsidRPr="00FF330A" w:rsidRDefault="00593C23" w:rsidP="00FF330A">
      <w:pPr>
        <w:spacing w:line="360" w:lineRule="auto"/>
        <w:rPr>
          <w:rFonts w:ascii="Times New Roman" w:hAnsi="Times New Roman" w:cs="Times New Roman"/>
          <w:sz w:val="24"/>
          <w:szCs w:val="24"/>
          <w:lang w:val="en-US"/>
        </w:rPr>
      </w:pPr>
    </w:p>
    <w:p w14:paraId="1DAC7022" w14:textId="2C4519B0" w:rsidR="00593C23" w:rsidRPr="00FF330A" w:rsidRDefault="00593C23" w:rsidP="00FF330A">
      <w:pPr>
        <w:pStyle w:val="Legenda"/>
        <w:spacing w:line="360" w:lineRule="auto"/>
        <w:rPr>
          <w:rFonts w:ascii="Times New Roman" w:hAnsi="Times New Roman" w:cs="Times New Roman"/>
          <w:lang w:val="en-US"/>
        </w:rPr>
      </w:pPr>
      <w:r w:rsidRPr="00FF330A">
        <w:rPr>
          <w:rFonts w:ascii="Times New Roman" w:hAnsi="Times New Roman" w:cs="Times New Roman"/>
          <w:lang w:val="en-US"/>
        </w:rPr>
        <w:t xml:space="preserve"> </w:t>
      </w:r>
    </w:p>
    <w:p w14:paraId="7B567ED2" w14:textId="77777777" w:rsidR="00593C23" w:rsidRPr="00FF330A" w:rsidRDefault="00593C23" w:rsidP="00FF330A">
      <w:pPr>
        <w:pStyle w:val="Legenda"/>
        <w:spacing w:line="360" w:lineRule="auto"/>
        <w:rPr>
          <w:rFonts w:ascii="Times New Roman" w:hAnsi="Times New Roman" w:cs="Times New Roman"/>
          <w:lang w:val="en-US"/>
        </w:rPr>
      </w:pPr>
    </w:p>
    <w:p w14:paraId="322C82A2" w14:textId="77777777" w:rsidR="00593C23" w:rsidRPr="00FF330A" w:rsidRDefault="00593C23" w:rsidP="00FF330A">
      <w:pPr>
        <w:spacing w:line="360" w:lineRule="auto"/>
        <w:jc w:val="both"/>
        <w:rPr>
          <w:rFonts w:ascii="Times New Roman" w:hAnsi="Times New Roman" w:cs="Times New Roman"/>
          <w:sz w:val="24"/>
          <w:szCs w:val="24"/>
        </w:rPr>
      </w:pPr>
      <w:r w:rsidRPr="00FF330A">
        <w:rPr>
          <w:rFonts w:ascii="Times New Roman" w:hAnsi="Times New Roman" w:cs="Times New Roman"/>
          <w:noProof/>
          <w:sz w:val="24"/>
          <w:szCs w:val="24"/>
        </w:rPr>
        <w:lastRenderedPageBreak/>
        <w:drawing>
          <wp:inline distT="0" distB="0" distL="0" distR="0" wp14:anchorId="396708F0" wp14:editId="5002F48B">
            <wp:extent cx="5606863" cy="5476876"/>
            <wp:effectExtent l="0" t="0" r="0" b="0"/>
            <wp:docPr id="1070939412" name="Imagem 1070939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39412" name="Imagem 10709394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6863" cy="5476876"/>
                    </a:xfrm>
                    <a:prstGeom prst="rect">
                      <a:avLst/>
                    </a:prstGeom>
                  </pic:spPr>
                </pic:pic>
              </a:graphicData>
            </a:graphic>
          </wp:inline>
        </w:drawing>
      </w:r>
    </w:p>
    <w:p w14:paraId="1618FF9E" w14:textId="7CCFAFE5" w:rsidR="007B6F32" w:rsidRPr="00FF330A" w:rsidRDefault="00593C23" w:rsidP="00E83D29">
      <w:pPr>
        <w:pStyle w:val="Legenda"/>
        <w:spacing w:line="276" w:lineRule="auto"/>
        <w:rPr>
          <w:rFonts w:ascii="Times New Roman" w:hAnsi="Times New Roman" w:cs="Times New Roman"/>
        </w:rPr>
      </w:pPr>
      <w:r w:rsidRPr="00E83D29">
        <w:rPr>
          <w:rFonts w:ascii="Times New Roman" w:hAnsi="Times New Roman" w:cs="Times New Roman"/>
          <w:b/>
          <w:bCs/>
        </w:rPr>
        <w:t>Figur</w:t>
      </w:r>
      <w:r w:rsidR="007B6F32" w:rsidRPr="00E83D29">
        <w:rPr>
          <w:rFonts w:ascii="Times New Roman" w:hAnsi="Times New Roman" w:cs="Times New Roman"/>
          <w:b/>
          <w:bCs/>
        </w:rPr>
        <w:t>a 3</w:t>
      </w:r>
      <w:r w:rsidR="007B6F32" w:rsidRPr="00FF330A">
        <w:rPr>
          <w:rFonts w:ascii="Times New Roman" w:hAnsi="Times New Roman" w:cs="Times New Roman"/>
        </w:rPr>
        <w:t>.</w:t>
      </w:r>
      <w:r w:rsidRPr="00FF330A">
        <w:rPr>
          <w:rFonts w:ascii="Times New Roman" w:hAnsi="Times New Roman" w:cs="Times New Roman"/>
        </w:rPr>
        <w:t xml:space="preserve"> </w:t>
      </w:r>
      <w:r w:rsidR="007B6F32" w:rsidRPr="00FF330A">
        <w:rPr>
          <w:rFonts w:ascii="Times New Roman" w:hAnsi="Times New Roman" w:cs="Times New Roman"/>
        </w:rPr>
        <w:t xml:space="preserve">A relação entre a água superficial </w:t>
      </w:r>
      <w:r w:rsidR="00F5405D">
        <w:rPr>
          <w:rFonts w:ascii="Times New Roman" w:hAnsi="Times New Roman" w:cs="Times New Roman"/>
        </w:rPr>
        <w:t>outorgada</w:t>
      </w:r>
      <w:r w:rsidR="007B6F32" w:rsidRPr="00FF330A">
        <w:rPr>
          <w:rFonts w:ascii="Times New Roman" w:hAnsi="Times New Roman" w:cs="Times New Roman"/>
        </w:rPr>
        <w:t xml:space="preserve"> e a disponibilidade de água por microbacia na bacia do Rio das Mortes.</w:t>
      </w:r>
    </w:p>
    <w:p w14:paraId="4853D577" w14:textId="77777777" w:rsidR="00E83D29" w:rsidRDefault="00E83D29" w:rsidP="00FF330A">
      <w:pPr>
        <w:pStyle w:val="Legenda"/>
        <w:spacing w:line="360" w:lineRule="auto"/>
        <w:rPr>
          <w:rFonts w:ascii="Times New Roman" w:hAnsi="Times New Roman" w:cs="Times New Roman"/>
        </w:rPr>
      </w:pPr>
    </w:p>
    <w:p w14:paraId="76F798BA" w14:textId="0ECB66D2" w:rsidR="00593C23" w:rsidRPr="00FF330A" w:rsidRDefault="007B6F32" w:rsidP="00E83D29">
      <w:pPr>
        <w:pStyle w:val="Legenda"/>
        <w:spacing w:line="360" w:lineRule="auto"/>
        <w:ind w:firstLine="708"/>
        <w:rPr>
          <w:rFonts w:ascii="Times New Roman" w:hAnsi="Times New Roman" w:cs="Times New Roman"/>
        </w:rPr>
      </w:pPr>
      <w:r w:rsidRPr="00FF330A">
        <w:rPr>
          <w:rFonts w:ascii="Times New Roman" w:hAnsi="Times New Roman" w:cs="Times New Roman"/>
        </w:rPr>
        <w:t>A relação entre as concessões de água superficial e as análises Q</w:t>
      </w:r>
      <w:r w:rsidRPr="003322AB">
        <w:rPr>
          <w:rFonts w:ascii="Times New Roman" w:hAnsi="Times New Roman" w:cs="Times New Roman"/>
          <w:vertAlign w:val="subscript"/>
        </w:rPr>
        <w:t>95</w:t>
      </w:r>
      <w:r w:rsidRPr="00FF330A">
        <w:rPr>
          <w:rFonts w:ascii="Times New Roman" w:hAnsi="Times New Roman" w:cs="Times New Roman"/>
        </w:rPr>
        <w:t xml:space="preserve"> </w:t>
      </w:r>
      <w:r w:rsidR="007575EF">
        <w:rPr>
          <w:rFonts w:ascii="Times New Roman" w:hAnsi="Times New Roman" w:cs="Times New Roman"/>
        </w:rPr>
        <w:t xml:space="preserve">(Figura 3) </w:t>
      </w:r>
      <w:r w:rsidRPr="00FF330A">
        <w:rPr>
          <w:rFonts w:ascii="Times New Roman" w:hAnsi="Times New Roman" w:cs="Times New Roman"/>
        </w:rPr>
        <w:t>mostrou que, na bacia do Rio das Mortes, algumas microbacias possuem concessões de água que excedem o limite legal estadual de 70% do Q</w:t>
      </w:r>
      <w:r w:rsidRPr="00FF330A">
        <w:rPr>
          <w:rFonts w:ascii="Times New Roman" w:hAnsi="Times New Roman" w:cs="Times New Roman"/>
          <w:vertAlign w:val="subscript"/>
        </w:rPr>
        <w:t>95</w:t>
      </w:r>
      <w:r w:rsidRPr="00FF330A">
        <w:rPr>
          <w:rFonts w:ascii="Times New Roman" w:hAnsi="Times New Roman" w:cs="Times New Roman"/>
        </w:rPr>
        <w:t>, particularmente nas cabeceiras do rio. No entanto, de modo geral, as concessões de água não ultrapassaram 50% do Q</w:t>
      </w:r>
      <w:r w:rsidRPr="00FF330A">
        <w:rPr>
          <w:rFonts w:ascii="Times New Roman" w:hAnsi="Times New Roman" w:cs="Times New Roman"/>
          <w:vertAlign w:val="subscript"/>
        </w:rPr>
        <w:t>95</w:t>
      </w:r>
      <w:r w:rsidRPr="00FF330A">
        <w:rPr>
          <w:rFonts w:ascii="Times New Roman" w:hAnsi="Times New Roman" w:cs="Times New Roman"/>
        </w:rPr>
        <w:t xml:space="preserve"> nas microbacias do Rio das Mortes. </w:t>
      </w:r>
    </w:p>
    <w:p w14:paraId="258DDABF" w14:textId="54E9848D" w:rsidR="00593C23" w:rsidRDefault="007B6F32" w:rsidP="00FF330A">
      <w:pPr>
        <w:spacing w:line="360" w:lineRule="auto"/>
        <w:ind w:firstLine="708"/>
        <w:jc w:val="both"/>
        <w:rPr>
          <w:rFonts w:ascii="Times New Roman" w:hAnsi="Times New Roman" w:cs="Times New Roman"/>
          <w:sz w:val="24"/>
          <w:szCs w:val="24"/>
        </w:rPr>
      </w:pPr>
      <w:r w:rsidRPr="00FF330A">
        <w:rPr>
          <w:rFonts w:ascii="Times New Roman" w:hAnsi="Times New Roman" w:cs="Times New Roman"/>
          <w:sz w:val="24"/>
          <w:szCs w:val="24"/>
        </w:rPr>
        <w:t xml:space="preserve">Finalmente, </w:t>
      </w:r>
      <w:r w:rsidR="00C6516F">
        <w:rPr>
          <w:rFonts w:ascii="Times New Roman" w:hAnsi="Times New Roman" w:cs="Times New Roman"/>
          <w:sz w:val="24"/>
          <w:szCs w:val="24"/>
        </w:rPr>
        <w:t xml:space="preserve">os dados de outorga assumem tipicamente uma outorga de 1,0 </w:t>
      </w:r>
      <w:proofErr w:type="gramStart"/>
      <w:r w:rsidR="00C6516F">
        <w:rPr>
          <w:rFonts w:ascii="Times New Roman" w:hAnsi="Times New Roman" w:cs="Times New Roman"/>
          <w:sz w:val="24"/>
          <w:szCs w:val="24"/>
        </w:rPr>
        <w:t>L</w:t>
      </w:r>
      <w:r w:rsidR="003D2C99">
        <w:rPr>
          <w:rFonts w:ascii="Times New Roman" w:hAnsi="Times New Roman" w:cs="Times New Roman"/>
          <w:sz w:val="24"/>
          <w:szCs w:val="24"/>
        </w:rPr>
        <w:t>.s</w:t>
      </w:r>
      <w:proofErr w:type="gramEnd"/>
      <w:r w:rsidR="003D2C99" w:rsidRPr="003D2C99">
        <w:rPr>
          <w:rFonts w:ascii="Times New Roman" w:hAnsi="Times New Roman" w:cs="Times New Roman"/>
          <w:sz w:val="24"/>
          <w:szCs w:val="24"/>
          <w:vertAlign w:val="superscript"/>
        </w:rPr>
        <w:t>-1</w:t>
      </w:r>
      <w:r w:rsidR="003D2C99">
        <w:rPr>
          <w:rFonts w:ascii="Times New Roman" w:hAnsi="Times New Roman" w:cs="Times New Roman"/>
          <w:sz w:val="24"/>
          <w:szCs w:val="24"/>
        </w:rPr>
        <w:t>.ha</w:t>
      </w:r>
      <w:r w:rsidR="003D2C99" w:rsidRPr="003D2C99">
        <w:rPr>
          <w:rFonts w:ascii="Times New Roman" w:hAnsi="Times New Roman" w:cs="Times New Roman"/>
          <w:sz w:val="24"/>
          <w:szCs w:val="24"/>
          <w:vertAlign w:val="superscript"/>
        </w:rPr>
        <w:t>-1</w:t>
      </w:r>
      <w:r w:rsidR="003D2C99">
        <w:rPr>
          <w:rFonts w:ascii="Times New Roman" w:hAnsi="Times New Roman" w:cs="Times New Roman"/>
          <w:sz w:val="24"/>
          <w:szCs w:val="24"/>
        </w:rPr>
        <w:t xml:space="preserve">. Assim, havendo </w:t>
      </w:r>
      <w:r w:rsidR="003D2C99" w:rsidRPr="00FF330A">
        <w:rPr>
          <w:rFonts w:ascii="Times New Roman" w:eastAsia="Times New Roman" w:hAnsi="Times New Roman"/>
          <w:sz w:val="24"/>
          <w:szCs w:val="24"/>
        </w:rPr>
        <w:t>187,39</w:t>
      </w:r>
      <w:r w:rsidR="003D2C99">
        <w:rPr>
          <w:rFonts w:ascii="Times New Roman" w:eastAsia="Times New Roman" w:hAnsi="Times New Roman"/>
          <w:sz w:val="24"/>
          <w:szCs w:val="24"/>
        </w:rPr>
        <w:t xml:space="preserve"> m</w:t>
      </w:r>
      <w:r w:rsidR="003D2C99" w:rsidRPr="00CE3335">
        <w:rPr>
          <w:rFonts w:ascii="Times New Roman" w:eastAsia="Times New Roman" w:hAnsi="Times New Roman"/>
          <w:sz w:val="24"/>
          <w:szCs w:val="24"/>
          <w:vertAlign w:val="superscript"/>
        </w:rPr>
        <w:t>3</w:t>
      </w:r>
      <w:r w:rsidR="003D2C99">
        <w:rPr>
          <w:rFonts w:ascii="Times New Roman" w:eastAsia="Times New Roman" w:hAnsi="Times New Roman"/>
          <w:sz w:val="24"/>
          <w:szCs w:val="24"/>
        </w:rPr>
        <w:t>.s</w:t>
      </w:r>
      <w:r w:rsidR="003D2C99" w:rsidRPr="00CE3335">
        <w:rPr>
          <w:rFonts w:ascii="Times New Roman" w:eastAsia="Times New Roman" w:hAnsi="Times New Roman"/>
          <w:sz w:val="24"/>
          <w:szCs w:val="24"/>
          <w:vertAlign w:val="superscript"/>
        </w:rPr>
        <w:t>-1</w:t>
      </w:r>
      <w:r w:rsidR="003D2C99">
        <w:rPr>
          <w:rFonts w:ascii="Times New Roman" w:eastAsia="Times New Roman" w:hAnsi="Times New Roman"/>
          <w:sz w:val="24"/>
          <w:szCs w:val="24"/>
        </w:rPr>
        <w:t xml:space="preserve"> a serem outorgados ainda na Bacia do Rio das Mortes, </w:t>
      </w:r>
      <w:r w:rsidR="008B2F1C">
        <w:rPr>
          <w:rFonts w:ascii="Times New Roman" w:eastAsia="Times New Roman" w:hAnsi="Times New Roman"/>
          <w:sz w:val="24"/>
          <w:szCs w:val="24"/>
        </w:rPr>
        <w:t>numa aproximação inicial pode-se inferir que a irrigação nesta bacia pode expandir mais 187</w:t>
      </w:r>
      <w:r w:rsidR="00CE3335">
        <w:rPr>
          <w:rFonts w:ascii="Times New Roman" w:eastAsia="Times New Roman" w:hAnsi="Times New Roman"/>
          <w:sz w:val="24"/>
          <w:szCs w:val="24"/>
        </w:rPr>
        <w:t xml:space="preserve">.390 ha. </w:t>
      </w:r>
      <w:r w:rsidR="0066785F">
        <w:rPr>
          <w:rFonts w:ascii="Times New Roman" w:eastAsia="Times New Roman" w:hAnsi="Times New Roman"/>
          <w:sz w:val="24"/>
          <w:szCs w:val="24"/>
        </w:rPr>
        <w:t xml:space="preserve">Esse número é uma estimativa inicial e pode aumentar ou diminuir dependendo de diversos </w:t>
      </w:r>
      <w:r w:rsidR="0066785F">
        <w:rPr>
          <w:rFonts w:ascii="Times New Roman" w:eastAsia="Times New Roman" w:hAnsi="Times New Roman"/>
          <w:sz w:val="24"/>
          <w:szCs w:val="24"/>
        </w:rPr>
        <w:lastRenderedPageBreak/>
        <w:t xml:space="preserve">fatores. Fatores que podem aumentar a área com potencial de expansão incluem </w:t>
      </w:r>
      <w:r w:rsidR="001A3317">
        <w:rPr>
          <w:rFonts w:ascii="Times New Roman" w:eastAsia="Times New Roman" w:hAnsi="Times New Roman"/>
          <w:sz w:val="24"/>
          <w:szCs w:val="24"/>
        </w:rPr>
        <w:t>o uso de água subterrânea, um melhor gerenciamento de água a nível de fazenda</w:t>
      </w:r>
      <w:r w:rsidR="0047519A">
        <w:rPr>
          <w:rFonts w:ascii="Times New Roman" w:eastAsia="Times New Roman" w:hAnsi="Times New Roman"/>
          <w:sz w:val="24"/>
          <w:szCs w:val="24"/>
        </w:rPr>
        <w:t xml:space="preserve"> ou de bacia</w:t>
      </w:r>
      <w:r w:rsidR="002448AF">
        <w:rPr>
          <w:rFonts w:ascii="Times New Roman" w:eastAsia="Times New Roman" w:hAnsi="Times New Roman"/>
          <w:sz w:val="24"/>
          <w:szCs w:val="24"/>
        </w:rPr>
        <w:t>,</w:t>
      </w:r>
      <w:r w:rsidR="0047519A">
        <w:rPr>
          <w:rFonts w:ascii="Times New Roman" w:eastAsia="Times New Roman" w:hAnsi="Times New Roman"/>
          <w:sz w:val="24"/>
          <w:szCs w:val="24"/>
        </w:rPr>
        <w:t xml:space="preserve"> outorgas sazonais, </w:t>
      </w:r>
      <w:r w:rsidR="008E3E44">
        <w:rPr>
          <w:rFonts w:ascii="Times New Roman" w:eastAsia="Times New Roman" w:hAnsi="Times New Roman"/>
          <w:sz w:val="24"/>
          <w:szCs w:val="24"/>
        </w:rPr>
        <w:t xml:space="preserve">melhoria na eficiência de sistemas de irrigação e aumento da recarga dos rios, </w:t>
      </w:r>
      <w:r w:rsidR="0047519A">
        <w:rPr>
          <w:rFonts w:ascii="Times New Roman" w:eastAsia="Times New Roman" w:hAnsi="Times New Roman"/>
          <w:sz w:val="24"/>
          <w:szCs w:val="24"/>
        </w:rPr>
        <w:t>que estão sendo estudados</w:t>
      </w:r>
      <w:r w:rsidR="002977BD">
        <w:rPr>
          <w:rFonts w:ascii="Times New Roman" w:eastAsia="Times New Roman" w:hAnsi="Times New Roman"/>
          <w:sz w:val="24"/>
          <w:szCs w:val="24"/>
        </w:rPr>
        <w:t>, respectivamente,</w:t>
      </w:r>
      <w:r w:rsidR="0047519A">
        <w:rPr>
          <w:rFonts w:ascii="Times New Roman" w:eastAsia="Times New Roman" w:hAnsi="Times New Roman"/>
          <w:sz w:val="24"/>
          <w:szCs w:val="24"/>
        </w:rPr>
        <w:t xml:space="preserve"> </w:t>
      </w:r>
      <w:r w:rsidR="008E3E44">
        <w:rPr>
          <w:rFonts w:ascii="Times New Roman" w:eastAsia="Times New Roman" w:hAnsi="Times New Roman"/>
          <w:sz w:val="24"/>
          <w:szCs w:val="24"/>
        </w:rPr>
        <w:t>na Meta 5</w:t>
      </w:r>
      <w:r w:rsidR="00DE52CD">
        <w:rPr>
          <w:rFonts w:ascii="Times New Roman" w:eastAsia="Times New Roman" w:hAnsi="Times New Roman"/>
          <w:sz w:val="24"/>
          <w:szCs w:val="24"/>
        </w:rPr>
        <w:t>;</w:t>
      </w:r>
      <w:r w:rsidR="002977BD">
        <w:rPr>
          <w:rFonts w:ascii="Times New Roman" w:eastAsia="Times New Roman" w:hAnsi="Times New Roman"/>
          <w:sz w:val="24"/>
          <w:szCs w:val="24"/>
        </w:rPr>
        <w:t xml:space="preserve"> na atividade 3.3</w:t>
      </w:r>
      <w:r w:rsidR="00DE52CD">
        <w:rPr>
          <w:rFonts w:ascii="Times New Roman" w:eastAsia="Times New Roman" w:hAnsi="Times New Roman"/>
          <w:sz w:val="24"/>
          <w:szCs w:val="24"/>
        </w:rPr>
        <w:t>;</w:t>
      </w:r>
      <w:r w:rsidR="002977BD">
        <w:rPr>
          <w:rFonts w:ascii="Times New Roman" w:eastAsia="Times New Roman" w:hAnsi="Times New Roman"/>
          <w:sz w:val="24"/>
          <w:szCs w:val="24"/>
        </w:rPr>
        <w:t xml:space="preserve"> na atividade 4.</w:t>
      </w:r>
      <w:r w:rsidR="002448AF">
        <w:rPr>
          <w:rFonts w:ascii="Times New Roman" w:eastAsia="Times New Roman" w:hAnsi="Times New Roman"/>
          <w:sz w:val="24"/>
          <w:szCs w:val="24"/>
        </w:rPr>
        <w:t>2</w:t>
      </w:r>
      <w:r w:rsidR="00DE52CD">
        <w:rPr>
          <w:rFonts w:ascii="Times New Roman" w:eastAsia="Times New Roman" w:hAnsi="Times New Roman"/>
          <w:sz w:val="24"/>
          <w:szCs w:val="24"/>
        </w:rPr>
        <w:t>;</w:t>
      </w:r>
      <w:r w:rsidR="002448AF">
        <w:rPr>
          <w:rFonts w:ascii="Times New Roman" w:eastAsia="Times New Roman" w:hAnsi="Times New Roman"/>
          <w:sz w:val="24"/>
          <w:szCs w:val="24"/>
        </w:rPr>
        <w:t xml:space="preserve"> </w:t>
      </w:r>
      <w:r w:rsidR="00A43073">
        <w:rPr>
          <w:rFonts w:ascii="Times New Roman" w:eastAsia="Times New Roman" w:hAnsi="Times New Roman"/>
          <w:sz w:val="24"/>
          <w:szCs w:val="24"/>
        </w:rPr>
        <w:t xml:space="preserve">Meta 9 </w:t>
      </w:r>
      <w:r w:rsidR="00D452E9">
        <w:rPr>
          <w:rFonts w:ascii="Times New Roman" w:eastAsia="Times New Roman" w:hAnsi="Times New Roman"/>
          <w:sz w:val="24"/>
          <w:szCs w:val="24"/>
        </w:rPr>
        <w:t>e atividade 7.</w:t>
      </w:r>
      <w:r w:rsidR="00DE52CD">
        <w:rPr>
          <w:rFonts w:ascii="Times New Roman" w:eastAsia="Times New Roman" w:hAnsi="Times New Roman"/>
          <w:sz w:val="24"/>
          <w:szCs w:val="24"/>
        </w:rPr>
        <w:t>4;</w:t>
      </w:r>
      <w:r w:rsidR="00D452E9">
        <w:rPr>
          <w:rFonts w:ascii="Times New Roman" w:eastAsia="Times New Roman" w:hAnsi="Times New Roman"/>
          <w:sz w:val="24"/>
          <w:szCs w:val="24"/>
        </w:rPr>
        <w:t xml:space="preserve"> </w:t>
      </w:r>
      <w:r w:rsidR="00A43073">
        <w:rPr>
          <w:rFonts w:ascii="Times New Roman" w:eastAsia="Times New Roman" w:hAnsi="Times New Roman"/>
          <w:sz w:val="24"/>
          <w:szCs w:val="24"/>
        </w:rPr>
        <w:t>e atividade</w:t>
      </w:r>
      <w:r w:rsidR="00D452E9">
        <w:rPr>
          <w:rFonts w:ascii="Times New Roman" w:eastAsia="Times New Roman" w:hAnsi="Times New Roman"/>
          <w:sz w:val="24"/>
          <w:szCs w:val="24"/>
        </w:rPr>
        <w:t>s</w:t>
      </w:r>
      <w:r w:rsidR="00A43073">
        <w:rPr>
          <w:rFonts w:ascii="Times New Roman" w:eastAsia="Times New Roman" w:hAnsi="Times New Roman"/>
          <w:sz w:val="24"/>
          <w:szCs w:val="24"/>
        </w:rPr>
        <w:t xml:space="preserve"> 4.5</w:t>
      </w:r>
      <w:r w:rsidR="00D452E9">
        <w:rPr>
          <w:rFonts w:ascii="Times New Roman" w:eastAsia="Times New Roman" w:hAnsi="Times New Roman"/>
          <w:sz w:val="24"/>
          <w:szCs w:val="24"/>
        </w:rPr>
        <w:t xml:space="preserve"> </w:t>
      </w:r>
      <w:r w:rsidR="00DE52CD">
        <w:rPr>
          <w:rFonts w:ascii="Times New Roman" w:eastAsia="Times New Roman" w:hAnsi="Times New Roman"/>
          <w:sz w:val="24"/>
          <w:szCs w:val="24"/>
        </w:rPr>
        <w:t>e 7.3</w:t>
      </w:r>
      <w:r w:rsidR="00A43073">
        <w:rPr>
          <w:rFonts w:ascii="Times New Roman" w:eastAsia="Times New Roman" w:hAnsi="Times New Roman"/>
          <w:sz w:val="24"/>
          <w:szCs w:val="24"/>
        </w:rPr>
        <w:t>. Fatores que podem diminuir a área com potencial de expansão de irrigação incluem usos múltiplos da área</w:t>
      </w:r>
      <w:r w:rsidR="00AD0988">
        <w:rPr>
          <w:rFonts w:ascii="Times New Roman" w:eastAsia="Times New Roman" w:hAnsi="Times New Roman"/>
          <w:sz w:val="24"/>
          <w:szCs w:val="24"/>
        </w:rPr>
        <w:t xml:space="preserve">, que será estudado na atividade </w:t>
      </w:r>
      <w:r w:rsidR="00AD4A52">
        <w:rPr>
          <w:rFonts w:ascii="Times New Roman" w:eastAsia="Times New Roman" w:hAnsi="Times New Roman"/>
          <w:sz w:val="24"/>
          <w:szCs w:val="24"/>
        </w:rPr>
        <w:t xml:space="preserve">7.5. </w:t>
      </w:r>
    </w:p>
    <w:p w14:paraId="4DFB71CD" w14:textId="77777777" w:rsidR="00D52A0B" w:rsidRDefault="00D52A0B" w:rsidP="00FF330A">
      <w:pPr>
        <w:spacing w:line="360" w:lineRule="auto"/>
        <w:rPr>
          <w:rFonts w:ascii="Times New Roman" w:hAnsi="Times New Roman" w:cs="Times New Roman"/>
          <w:sz w:val="24"/>
          <w:szCs w:val="24"/>
        </w:rPr>
      </w:pPr>
    </w:p>
    <w:p w14:paraId="21AFB4ED" w14:textId="449EB3A4" w:rsidR="0047613D" w:rsidRPr="0047613D" w:rsidRDefault="0047613D" w:rsidP="0047613D">
      <w:pPr>
        <w:pStyle w:val="PargrafodaLista"/>
        <w:numPr>
          <w:ilvl w:val="0"/>
          <w:numId w:val="1"/>
        </w:numPr>
        <w:spacing w:line="360" w:lineRule="auto"/>
        <w:rPr>
          <w:rFonts w:ascii="Times New Roman" w:hAnsi="Times New Roman" w:cs="Times New Roman"/>
          <w:b/>
          <w:bCs/>
          <w:sz w:val="24"/>
          <w:szCs w:val="24"/>
        </w:rPr>
      </w:pPr>
      <w:r w:rsidRPr="0047613D">
        <w:rPr>
          <w:rFonts w:ascii="Times New Roman" w:hAnsi="Times New Roman" w:cs="Times New Roman"/>
          <w:b/>
          <w:bCs/>
          <w:sz w:val="24"/>
          <w:szCs w:val="24"/>
        </w:rPr>
        <w:t>Atividades futuras</w:t>
      </w:r>
    </w:p>
    <w:p w14:paraId="1B725CE1" w14:textId="3DF3A988" w:rsidR="00AB5CF1" w:rsidRPr="007A1E60" w:rsidRDefault="007A1E60" w:rsidP="00B11183">
      <w:pPr>
        <w:spacing w:after="360" w:line="360" w:lineRule="auto"/>
        <w:ind w:firstLine="709"/>
        <w:jc w:val="both"/>
        <w:rPr>
          <w:rFonts w:ascii="Times New Roman" w:hAnsi="Times New Roman" w:cs="Times New Roman"/>
          <w:sz w:val="24"/>
          <w:szCs w:val="24"/>
        </w:rPr>
      </w:pPr>
      <w:r w:rsidRPr="007A1E60">
        <w:rPr>
          <w:rFonts w:ascii="Times New Roman" w:hAnsi="Times New Roman" w:cs="Times New Roman"/>
          <w:sz w:val="24"/>
          <w:szCs w:val="24"/>
        </w:rPr>
        <w:t xml:space="preserve">Embora as atividades do </w:t>
      </w:r>
      <w:proofErr w:type="spellStart"/>
      <w:r w:rsidRPr="007A1E60">
        <w:rPr>
          <w:rFonts w:ascii="Times New Roman" w:hAnsi="Times New Roman" w:cs="Times New Roman"/>
          <w:sz w:val="24"/>
          <w:szCs w:val="24"/>
        </w:rPr>
        <w:t>Pólo</w:t>
      </w:r>
      <w:proofErr w:type="spellEnd"/>
      <w:r w:rsidRPr="007A1E60">
        <w:rPr>
          <w:rFonts w:ascii="Times New Roman" w:hAnsi="Times New Roman" w:cs="Times New Roman"/>
          <w:sz w:val="24"/>
          <w:szCs w:val="24"/>
        </w:rPr>
        <w:t xml:space="preserve"> de Irrigação do Rio das Mortes estejam essencialmente concluídas, ainda aguardamos os resultados do </w:t>
      </w:r>
      <w:proofErr w:type="spellStart"/>
      <w:r w:rsidRPr="007A1E60">
        <w:rPr>
          <w:rFonts w:ascii="Times New Roman" w:hAnsi="Times New Roman" w:cs="Times New Roman"/>
          <w:sz w:val="24"/>
          <w:szCs w:val="24"/>
        </w:rPr>
        <w:t>Pólo</w:t>
      </w:r>
      <w:proofErr w:type="spellEnd"/>
      <w:r w:rsidRPr="007A1E60">
        <w:rPr>
          <w:rFonts w:ascii="Times New Roman" w:hAnsi="Times New Roman" w:cs="Times New Roman"/>
          <w:sz w:val="24"/>
          <w:szCs w:val="24"/>
        </w:rPr>
        <w:t xml:space="preserve"> de Irrigação do Alto Teles Pires para poder proceder com a análise.</w:t>
      </w:r>
    </w:p>
    <w:p w14:paraId="57F16DAF" w14:textId="71DD5428" w:rsidR="000F7573" w:rsidRPr="00E83D29" w:rsidRDefault="000F7573" w:rsidP="00FF330A">
      <w:pPr>
        <w:spacing w:line="360" w:lineRule="auto"/>
        <w:rPr>
          <w:rFonts w:ascii="Times New Roman" w:hAnsi="Times New Roman" w:cs="Times New Roman"/>
          <w:b/>
          <w:bCs/>
          <w:sz w:val="24"/>
          <w:szCs w:val="24"/>
        </w:rPr>
      </w:pPr>
      <w:r w:rsidRPr="00E83D29">
        <w:rPr>
          <w:rFonts w:ascii="Times New Roman" w:hAnsi="Times New Roman" w:cs="Times New Roman"/>
          <w:b/>
          <w:bCs/>
          <w:sz w:val="24"/>
          <w:szCs w:val="24"/>
        </w:rPr>
        <w:t>Refer</w:t>
      </w:r>
      <w:r w:rsidR="00C76675">
        <w:rPr>
          <w:rFonts w:ascii="Times New Roman" w:hAnsi="Times New Roman" w:cs="Times New Roman"/>
          <w:b/>
          <w:bCs/>
          <w:sz w:val="24"/>
          <w:szCs w:val="24"/>
        </w:rPr>
        <w:t>ê</w:t>
      </w:r>
      <w:r w:rsidRPr="00E83D29">
        <w:rPr>
          <w:rFonts w:ascii="Times New Roman" w:hAnsi="Times New Roman" w:cs="Times New Roman"/>
          <w:b/>
          <w:bCs/>
          <w:sz w:val="24"/>
          <w:szCs w:val="24"/>
        </w:rPr>
        <w:t>ncias</w:t>
      </w:r>
    </w:p>
    <w:tbl>
      <w:tblPr>
        <w:tblStyle w:val="TabelaSimples4"/>
        <w:tblW w:w="5000" w:type="pct"/>
        <w:tblLook w:val="04A0" w:firstRow="1" w:lastRow="0" w:firstColumn="1" w:lastColumn="0" w:noHBand="0" w:noVBand="1"/>
      </w:tblPr>
      <w:tblGrid>
        <w:gridCol w:w="9026"/>
      </w:tblGrid>
      <w:tr w:rsidR="00F56802" w:rsidRPr="00FF330A" w14:paraId="71FAF782" w14:textId="77777777" w:rsidTr="00F56802">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5000" w:type="pct"/>
            <w:hideMark/>
          </w:tcPr>
          <w:p w14:paraId="4DA494DF" w14:textId="46691700" w:rsidR="00F56802" w:rsidRDefault="00F56802" w:rsidP="007855A6">
            <w:pPr>
              <w:spacing w:line="276" w:lineRule="auto"/>
              <w:ind w:left="318" w:hanging="426"/>
              <w:jc w:val="both"/>
              <w:rPr>
                <w:rFonts w:ascii="Times New Roman" w:eastAsia="Times New Roman" w:hAnsi="Times New Roman" w:cs="Times New Roman"/>
                <w:color w:val="000000"/>
                <w:sz w:val="24"/>
                <w:szCs w:val="24"/>
                <w:lang w:eastAsia="pt-BR"/>
              </w:rPr>
            </w:pPr>
            <w:r w:rsidRPr="00FF330A">
              <w:rPr>
                <w:rFonts w:ascii="Times New Roman" w:eastAsia="Times New Roman" w:hAnsi="Times New Roman" w:cs="Times New Roman"/>
                <w:b w:val="0"/>
                <w:bCs w:val="0"/>
                <w:color w:val="000000"/>
                <w:sz w:val="24"/>
                <w:szCs w:val="24"/>
                <w:lang w:eastAsia="pt-BR"/>
              </w:rPr>
              <w:t xml:space="preserve">ANA (2024). Outorgas emitidas. Agência Nacional de Águas e Saneamento Básico. </w:t>
            </w:r>
            <w:hyperlink r:id="rId9" w:history="1">
              <w:r w:rsidR="00EC43DF" w:rsidRPr="00EF3ED7">
                <w:rPr>
                  <w:rStyle w:val="Hyperlink"/>
                  <w:rFonts w:ascii="Times New Roman" w:eastAsia="Times New Roman" w:hAnsi="Times New Roman" w:cs="Times New Roman"/>
                  <w:sz w:val="24"/>
                  <w:szCs w:val="24"/>
                  <w:lang w:eastAsia="pt-BR"/>
                </w:rPr>
                <w:t>https://www.gov.br/ana/pt-br/assuntos/regulacao-e-fiscalizacao/outorga/outorgas-emitidas</w:t>
              </w:r>
            </w:hyperlink>
          </w:p>
          <w:p w14:paraId="07520E4B" w14:textId="77777777" w:rsidR="00EC43DF" w:rsidRPr="00FF330A" w:rsidRDefault="00EC43DF" w:rsidP="007855A6">
            <w:pPr>
              <w:spacing w:line="276" w:lineRule="auto"/>
              <w:ind w:left="318" w:hanging="426"/>
              <w:jc w:val="both"/>
              <w:rPr>
                <w:rFonts w:ascii="Times New Roman" w:eastAsia="Times New Roman" w:hAnsi="Times New Roman" w:cs="Times New Roman"/>
                <w:b w:val="0"/>
                <w:bCs w:val="0"/>
                <w:color w:val="000000"/>
                <w:sz w:val="24"/>
                <w:szCs w:val="24"/>
                <w:lang w:eastAsia="pt-BR"/>
              </w:rPr>
            </w:pPr>
          </w:p>
        </w:tc>
      </w:tr>
      <w:tr w:rsidR="00F56802" w:rsidRPr="00FF330A" w14:paraId="57147166" w14:textId="77777777" w:rsidTr="007855A6">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hideMark/>
          </w:tcPr>
          <w:p w14:paraId="13D8CE82" w14:textId="77777777" w:rsidR="00F56802" w:rsidRDefault="00F56802" w:rsidP="007855A6">
            <w:pPr>
              <w:spacing w:line="276" w:lineRule="auto"/>
              <w:ind w:left="318" w:hanging="426"/>
              <w:jc w:val="both"/>
              <w:rPr>
                <w:rFonts w:ascii="Times New Roman" w:eastAsia="Times New Roman" w:hAnsi="Times New Roman" w:cs="Times New Roman"/>
                <w:color w:val="000000"/>
                <w:sz w:val="24"/>
                <w:szCs w:val="24"/>
                <w:lang w:eastAsia="pt-BR"/>
              </w:rPr>
            </w:pPr>
            <w:r w:rsidRPr="00FF330A">
              <w:rPr>
                <w:rFonts w:ascii="Times New Roman" w:eastAsia="Times New Roman" w:hAnsi="Times New Roman" w:cs="Times New Roman"/>
                <w:b w:val="0"/>
                <w:bCs w:val="0"/>
                <w:color w:val="000000"/>
                <w:sz w:val="24"/>
                <w:szCs w:val="24"/>
                <w:lang w:eastAsia="pt-BR"/>
              </w:rPr>
              <w:t>ELETROBRÁS. (1985). Centrais Elétricas Brasileiras S.A. Metodologia para</w:t>
            </w:r>
          </w:p>
          <w:p w14:paraId="43F63322" w14:textId="77777777" w:rsidR="00EC43DF" w:rsidRPr="00FF330A" w:rsidRDefault="00EC43DF" w:rsidP="007855A6">
            <w:pPr>
              <w:spacing w:line="276" w:lineRule="auto"/>
              <w:ind w:left="318" w:hanging="426"/>
              <w:jc w:val="both"/>
              <w:rPr>
                <w:rFonts w:ascii="Times New Roman" w:eastAsia="Times New Roman" w:hAnsi="Times New Roman" w:cs="Times New Roman"/>
                <w:b w:val="0"/>
                <w:bCs w:val="0"/>
                <w:color w:val="000000"/>
                <w:sz w:val="24"/>
                <w:szCs w:val="24"/>
                <w:lang w:eastAsia="pt-BR"/>
              </w:rPr>
            </w:pPr>
          </w:p>
        </w:tc>
      </w:tr>
      <w:tr w:rsidR="00F56802" w:rsidRPr="00FF330A" w14:paraId="6654DCB7" w14:textId="77777777" w:rsidTr="007855A6">
        <w:trPr>
          <w:trHeight w:val="1116"/>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hideMark/>
          </w:tcPr>
          <w:p w14:paraId="1774771B" w14:textId="77777777" w:rsidR="00F56802" w:rsidRDefault="00F56802" w:rsidP="007855A6">
            <w:pPr>
              <w:spacing w:line="276" w:lineRule="auto"/>
              <w:ind w:left="318" w:hanging="426"/>
              <w:jc w:val="both"/>
              <w:rPr>
                <w:rFonts w:ascii="Times New Roman" w:eastAsia="Times New Roman" w:hAnsi="Times New Roman" w:cs="Times New Roman"/>
                <w:color w:val="000000"/>
                <w:sz w:val="24"/>
                <w:szCs w:val="24"/>
                <w:lang w:eastAsia="pt-BR"/>
              </w:rPr>
            </w:pPr>
            <w:proofErr w:type="spellStart"/>
            <w:r w:rsidRPr="00FF330A">
              <w:rPr>
                <w:rFonts w:ascii="Times New Roman" w:eastAsia="Times New Roman" w:hAnsi="Times New Roman" w:cs="Times New Roman"/>
                <w:b w:val="0"/>
                <w:bCs w:val="0"/>
                <w:color w:val="000000"/>
                <w:sz w:val="24"/>
                <w:szCs w:val="24"/>
                <w:lang w:eastAsia="pt-BR"/>
              </w:rPr>
              <w:t>Pruski</w:t>
            </w:r>
            <w:proofErr w:type="spellEnd"/>
            <w:r w:rsidRPr="00FF330A">
              <w:rPr>
                <w:rFonts w:ascii="Times New Roman" w:eastAsia="Times New Roman" w:hAnsi="Times New Roman" w:cs="Times New Roman"/>
                <w:b w:val="0"/>
                <w:bCs w:val="0"/>
                <w:color w:val="000000"/>
                <w:sz w:val="24"/>
                <w:szCs w:val="24"/>
                <w:lang w:eastAsia="pt-BR"/>
              </w:rPr>
              <w:t xml:space="preserve">, F. F., de Araújo Nunes, A., </w:t>
            </w:r>
            <w:proofErr w:type="spellStart"/>
            <w:r w:rsidRPr="00FF330A">
              <w:rPr>
                <w:rFonts w:ascii="Times New Roman" w:eastAsia="Times New Roman" w:hAnsi="Times New Roman" w:cs="Times New Roman"/>
                <w:b w:val="0"/>
                <w:bCs w:val="0"/>
                <w:color w:val="000000"/>
                <w:sz w:val="24"/>
                <w:szCs w:val="24"/>
                <w:lang w:eastAsia="pt-BR"/>
              </w:rPr>
              <w:t>Pruski</w:t>
            </w:r>
            <w:proofErr w:type="spellEnd"/>
            <w:r w:rsidRPr="00FF330A">
              <w:rPr>
                <w:rFonts w:ascii="Times New Roman" w:eastAsia="Times New Roman" w:hAnsi="Times New Roman" w:cs="Times New Roman"/>
                <w:b w:val="0"/>
                <w:bCs w:val="0"/>
                <w:color w:val="000000"/>
                <w:sz w:val="24"/>
                <w:szCs w:val="24"/>
                <w:lang w:eastAsia="pt-BR"/>
              </w:rPr>
              <w:t xml:space="preserve">, P. L., &amp; </w:t>
            </w:r>
            <w:proofErr w:type="spellStart"/>
            <w:r w:rsidRPr="00FF330A">
              <w:rPr>
                <w:rFonts w:ascii="Times New Roman" w:eastAsia="Times New Roman" w:hAnsi="Times New Roman" w:cs="Times New Roman"/>
                <w:b w:val="0"/>
                <w:bCs w:val="0"/>
                <w:color w:val="000000"/>
                <w:sz w:val="24"/>
                <w:szCs w:val="24"/>
                <w:lang w:eastAsia="pt-BR"/>
              </w:rPr>
              <w:t>del</w:t>
            </w:r>
            <w:proofErr w:type="spellEnd"/>
            <w:r w:rsidRPr="00FF330A">
              <w:rPr>
                <w:rFonts w:ascii="Times New Roman" w:eastAsia="Times New Roman" w:hAnsi="Times New Roman" w:cs="Times New Roman"/>
                <w:b w:val="0"/>
                <w:bCs w:val="0"/>
                <w:color w:val="000000"/>
                <w:sz w:val="24"/>
                <w:szCs w:val="24"/>
                <w:lang w:eastAsia="pt-BR"/>
              </w:rPr>
              <w:t xml:space="preserve"> Giudice Rodriguez, R. (2013). </w:t>
            </w:r>
            <w:r w:rsidRPr="00FF330A">
              <w:rPr>
                <w:rFonts w:ascii="Times New Roman" w:eastAsia="Times New Roman" w:hAnsi="Times New Roman" w:cs="Times New Roman"/>
                <w:b w:val="0"/>
                <w:bCs w:val="0"/>
                <w:color w:val="000000"/>
                <w:sz w:val="24"/>
                <w:szCs w:val="24"/>
                <w:lang w:val="en-US" w:eastAsia="pt-BR"/>
              </w:rPr>
              <w:t xml:space="preserve">Improved regionalization of streamflow by use of the streamflow equivalent of precipitation as an explanatory variable. </w:t>
            </w:r>
            <w:proofErr w:type="spellStart"/>
            <w:r w:rsidRPr="00FF330A">
              <w:rPr>
                <w:rFonts w:ascii="Times New Roman" w:eastAsia="Times New Roman" w:hAnsi="Times New Roman" w:cs="Times New Roman"/>
                <w:b w:val="0"/>
                <w:bCs w:val="0"/>
                <w:color w:val="000000"/>
                <w:sz w:val="24"/>
                <w:szCs w:val="24"/>
                <w:lang w:eastAsia="pt-BR"/>
              </w:rPr>
              <w:t>Journal</w:t>
            </w:r>
            <w:proofErr w:type="spellEnd"/>
            <w:r w:rsidRPr="00FF330A">
              <w:rPr>
                <w:rFonts w:ascii="Times New Roman" w:eastAsia="Times New Roman" w:hAnsi="Times New Roman" w:cs="Times New Roman"/>
                <w:b w:val="0"/>
                <w:bCs w:val="0"/>
                <w:color w:val="000000"/>
                <w:sz w:val="24"/>
                <w:szCs w:val="24"/>
                <w:lang w:eastAsia="pt-BR"/>
              </w:rPr>
              <w:t xml:space="preserve"> </w:t>
            </w:r>
            <w:proofErr w:type="spellStart"/>
            <w:r w:rsidRPr="00FF330A">
              <w:rPr>
                <w:rFonts w:ascii="Times New Roman" w:eastAsia="Times New Roman" w:hAnsi="Times New Roman" w:cs="Times New Roman"/>
                <w:b w:val="0"/>
                <w:bCs w:val="0"/>
                <w:color w:val="000000"/>
                <w:sz w:val="24"/>
                <w:szCs w:val="24"/>
                <w:lang w:eastAsia="pt-BR"/>
              </w:rPr>
              <w:t>of</w:t>
            </w:r>
            <w:proofErr w:type="spellEnd"/>
            <w:r w:rsidRPr="00FF330A">
              <w:rPr>
                <w:rFonts w:ascii="Times New Roman" w:eastAsia="Times New Roman" w:hAnsi="Times New Roman" w:cs="Times New Roman"/>
                <w:b w:val="0"/>
                <w:bCs w:val="0"/>
                <w:color w:val="000000"/>
                <w:sz w:val="24"/>
                <w:szCs w:val="24"/>
                <w:lang w:eastAsia="pt-BR"/>
              </w:rPr>
              <w:t xml:space="preserve"> </w:t>
            </w:r>
            <w:proofErr w:type="spellStart"/>
            <w:r w:rsidRPr="00FF330A">
              <w:rPr>
                <w:rFonts w:ascii="Times New Roman" w:eastAsia="Times New Roman" w:hAnsi="Times New Roman" w:cs="Times New Roman"/>
                <w:b w:val="0"/>
                <w:bCs w:val="0"/>
                <w:color w:val="000000"/>
                <w:sz w:val="24"/>
                <w:szCs w:val="24"/>
                <w:lang w:eastAsia="pt-BR"/>
              </w:rPr>
              <w:t>Hydrology</w:t>
            </w:r>
            <w:proofErr w:type="spellEnd"/>
            <w:r w:rsidRPr="00FF330A">
              <w:rPr>
                <w:rFonts w:ascii="Times New Roman" w:eastAsia="Times New Roman" w:hAnsi="Times New Roman" w:cs="Times New Roman"/>
                <w:b w:val="0"/>
                <w:bCs w:val="0"/>
                <w:color w:val="000000"/>
                <w:sz w:val="24"/>
                <w:szCs w:val="24"/>
                <w:lang w:eastAsia="pt-BR"/>
              </w:rPr>
              <w:t>, 476, 52-71</w:t>
            </w:r>
          </w:p>
          <w:p w14:paraId="464F2BEC" w14:textId="77777777" w:rsidR="00EC43DF" w:rsidRPr="00FF330A" w:rsidRDefault="00EC43DF" w:rsidP="007855A6">
            <w:pPr>
              <w:spacing w:line="276" w:lineRule="auto"/>
              <w:ind w:left="318" w:hanging="426"/>
              <w:jc w:val="both"/>
              <w:rPr>
                <w:rFonts w:ascii="Times New Roman" w:eastAsia="Times New Roman" w:hAnsi="Times New Roman" w:cs="Times New Roman"/>
                <w:b w:val="0"/>
                <w:bCs w:val="0"/>
                <w:color w:val="000000"/>
                <w:sz w:val="24"/>
                <w:szCs w:val="24"/>
                <w:lang w:eastAsia="pt-BR"/>
              </w:rPr>
            </w:pPr>
          </w:p>
        </w:tc>
      </w:tr>
      <w:tr w:rsidR="00F56802" w:rsidRPr="00FF330A" w14:paraId="51519DF7" w14:textId="77777777" w:rsidTr="007855A6">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5000" w:type="pct"/>
            <w:shd w:val="clear" w:color="auto" w:fill="FFFFFF" w:themeFill="background1"/>
            <w:hideMark/>
          </w:tcPr>
          <w:p w14:paraId="6B12F519" w14:textId="7670C16A" w:rsidR="00F56802" w:rsidRPr="00FF330A" w:rsidRDefault="00F56802" w:rsidP="007855A6">
            <w:pPr>
              <w:spacing w:line="276" w:lineRule="auto"/>
              <w:ind w:left="318" w:hanging="426"/>
              <w:jc w:val="both"/>
              <w:rPr>
                <w:rFonts w:ascii="Times New Roman" w:eastAsia="Times New Roman" w:hAnsi="Times New Roman" w:cs="Times New Roman"/>
                <w:b w:val="0"/>
                <w:bCs w:val="0"/>
                <w:color w:val="000000"/>
                <w:sz w:val="24"/>
                <w:szCs w:val="24"/>
                <w:lang w:eastAsia="pt-BR"/>
              </w:rPr>
            </w:pPr>
            <w:r w:rsidRPr="00FF330A">
              <w:rPr>
                <w:rFonts w:ascii="Times New Roman" w:eastAsia="Times New Roman" w:hAnsi="Times New Roman" w:cs="Times New Roman"/>
                <w:b w:val="0"/>
                <w:bCs w:val="0"/>
                <w:color w:val="000000"/>
                <w:sz w:val="24"/>
                <w:szCs w:val="24"/>
                <w:lang w:eastAsia="pt-BR"/>
              </w:rPr>
              <w:t>Rodriguez, R. D. G. (2008). Proposta conceitual para a regionalização de vazões. Rio de Janeiro.</w:t>
            </w:r>
          </w:p>
        </w:tc>
      </w:tr>
    </w:tbl>
    <w:p w14:paraId="22C22E8A" w14:textId="77777777" w:rsidR="000F7573" w:rsidRPr="00FF330A" w:rsidRDefault="000F7573" w:rsidP="00FF330A">
      <w:pPr>
        <w:spacing w:line="360" w:lineRule="auto"/>
        <w:rPr>
          <w:rFonts w:ascii="Times New Roman" w:hAnsi="Times New Roman" w:cs="Times New Roman"/>
          <w:sz w:val="24"/>
          <w:szCs w:val="24"/>
        </w:rPr>
      </w:pPr>
    </w:p>
    <w:sectPr w:rsidR="000F7573" w:rsidRPr="00FF330A" w:rsidSect="00FF330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ohit Hindi">
    <w:altName w:val="Yu Gothic"/>
    <w:charset w:val="8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770BEA"/>
    <w:multiLevelType w:val="multilevel"/>
    <w:tmpl w:val="FC0A9B0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AB53573"/>
    <w:multiLevelType w:val="multilevel"/>
    <w:tmpl w:val="FC0A9B0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03272858">
    <w:abstractNumId w:val="0"/>
  </w:num>
  <w:num w:numId="2" w16cid:durableId="12197794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0E0"/>
    <w:rsid w:val="00023CDA"/>
    <w:rsid w:val="00031EDC"/>
    <w:rsid w:val="0006534B"/>
    <w:rsid w:val="000D51D7"/>
    <w:rsid w:val="000F7573"/>
    <w:rsid w:val="000F78C4"/>
    <w:rsid w:val="001420F4"/>
    <w:rsid w:val="00150183"/>
    <w:rsid w:val="00174F72"/>
    <w:rsid w:val="001A3317"/>
    <w:rsid w:val="00214FFA"/>
    <w:rsid w:val="00237F64"/>
    <w:rsid w:val="002448AF"/>
    <w:rsid w:val="002977BD"/>
    <w:rsid w:val="003322AB"/>
    <w:rsid w:val="00381DC9"/>
    <w:rsid w:val="00386C44"/>
    <w:rsid w:val="00391219"/>
    <w:rsid w:val="003D2C99"/>
    <w:rsid w:val="004020EB"/>
    <w:rsid w:val="00420075"/>
    <w:rsid w:val="004330B9"/>
    <w:rsid w:val="004346DE"/>
    <w:rsid w:val="0047519A"/>
    <w:rsid w:val="0047613D"/>
    <w:rsid w:val="004D18FB"/>
    <w:rsid w:val="00593C23"/>
    <w:rsid w:val="005F6BE3"/>
    <w:rsid w:val="006665DA"/>
    <w:rsid w:val="0066785F"/>
    <w:rsid w:val="00681777"/>
    <w:rsid w:val="00691C6A"/>
    <w:rsid w:val="006F074C"/>
    <w:rsid w:val="006F50F1"/>
    <w:rsid w:val="00704C4A"/>
    <w:rsid w:val="00756A7C"/>
    <w:rsid w:val="007575EF"/>
    <w:rsid w:val="007855A6"/>
    <w:rsid w:val="007A1E60"/>
    <w:rsid w:val="007B6F32"/>
    <w:rsid w:val="007F5EEB"/>
    <w:rsid w:val="008B2F1C"/>
    <w:rsid w:val="008E3E44"/>
    <w:rsid w:val="00906E60"/>
    <w:rsid w:val="009624C9"/>
    <w:rsid w:val="009A527E"/>
    <w:rsid w:val="009B649B"/>
    <w:rsid w:val="009F28CB"/>
    <w:rsid w:val="00A23552"/>
    <w:rsid w:val="00A43073"/>
    <w:rsid w:val="00A71AE2"/>
    <w:rsid w:val="00A75AD9"/>
    <w:rsid w:val="00A81DBC"/>
    <w:rsid w:val="00A85464"/>
    <w:rsid w:val="00AB5CF1"/>
    <w:rsid w:val="00AD0988"/>
    <w:rsid w:val="00AD4A52"/>
    <w:rsid w:val="00B11183"/>
    <w:rsid w:val="00BB0411"/>
    <w:rsid w:val="00C339C7"/>
    <w:rsid w:val="00C407E2"/>
    <w:rsid w:val="00C40FE8"/>
    <w:rsid w:val="00C6516F"/>
    <w:rsid w:val="00C76675"/>
    <w:rsid w:val="00C8363D"/>
    <w:rsid w:val="00C940F8"/>
    <w:rsid w:val="00CB3FB2"/>
    <w:rsid w:val="00CE3335"/>
    <w:rsid w:val="00D452E9"/>
    <w:rsid w:val="00D52A0B"/>
    <w:rsid w:val="00D769E8"/>
    <w:rsid w:val="00DE52CD"/>
    <w:rsid w:val="00E40C18"/>
    <w:rsid w:val="00E46C5E"/>
    <w:rsid w:val="00E57A52"/>
    <w:rsid w:val="00E83D29"/>
    <w:rsid w:val="00EC43DF"/>
    <w:rsid w:val="00EF50F3"/>
    <w:rsid w:val="00F35820"/>
    <w:rsid w:val="00F5405D"/>
    <w:rsid w:val="00F56802"/>
    <w:rsid w:val="00F770E0"/>
    <w:rsid w:val="00F773D6"/>
    <w:rsid w:val="00FD2AF0"/>
    <w:rsid w:val="00FD4EAE"/>
    <w:rsid w:val="00FE605C"/>
    <w:rsid w:val="00FF33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A6ECC5"/>
  <w15:chartTrackingRefBased/>
  <w15:docId w15:val="{A265D250-9481-4201-866C-73B03D54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SombreamentoClaro1">
    <w:name w:val="Sombreamento Claro1"/>
    <w:basedOn w:val="Tabelanormal"/>
    <w:uiPriority w:val="60"/>
    <w:rsid w:val="00593C23"/>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egenda">
    <w:name w:val="caption"/>
    <w:basedOn w:val="Normal"/>
    <w:qFormat/>
    <w:rsid w:val="00593C23"/>
    <w:pPr>
      <w:suppressLineNumbers/>
      <w:suppressAutoHyphens/>
      <w:spacing w:after="0" w:line="240" w:lineRule="auto"/>
      <w:jc w:val="both"/>
    </w:pPr>
    <w:rPr>
      <w:rFonts w:ascii="Arial" w:eastAsia="Calibri" w:hAnsi="Arial" w:cs="Lohit Hindi"/>
      <w:iCs/>
      <w:sz w:val="24"/>
      <w:szCs w:val="24"/>
      <w:lang w:eastAsia="zh-CN"/>
    </w:rPr>
  </w:style>
  <w:style w:type="paragraph" w:styleId="PargrafodaLista">
    <w:name w:val="List Paragraph"/>
    <w:basedOn w:val="Normal"/>
    <w:uiPriority w:val="34"/>
    <w:qFormat/>
    <w:rsid w:val="00A85464"/>
    <w:pPr>
      <w:ind w:left="720"/>
      <w:contextualSpacing/>
    </w:pPr>
  </w:style>
  <w:style w:type="paragraph" w:styleId="NormalWeb">
    <w:name w:val="Normal (Web)"/>
    <w:basedOn w:val="Normal"/>
    <w:uiPriority w:val="99"/>
    <w:semiHidden/>
    <w:unhideWhenUsed/>
    <w:rsid w:val="00237F64"/>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39"/>
    <w:rsid w:val="000F7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mples4">
    <w:name w:val="Plain Table 4"/>
    <w:basedOn w:val="Tabelanormal"/>
    <w:uiPriority w:val="44"/>
    <w:rsid w:val="00F568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yperlink">
    <w:name w:val="Hyperlink"/>
    <w:basedOn w:val="Fontepargpadro"/>
    <w:uiPriority w:val="99"/>
    <w:unhideWhenUsed/>
    <w:rsid w:val="00EC43DF"/>
    <w:rPr>
      <w:color w:val="0563C1" w:themeColor="hyperlink"/>
      <w:u w:val="single"/>
    </w:rPr>
  </w:style>
  <w:style w:type="character" w:styleId="MenoPendente">
    <w:name w:val="Unresolved Mention"/>
    <w:basedOn w:val="Fontepargpadro"/>
    <w:uiPriority w:val="99"/>
    <w:semiHidden/>
    <w:unhideWhenUsed/>
    <w:rsid w:val="00EC4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505825">
      <w:bodyDiv w:val="1"/>
      <w:marLeft w:val="0"/>
      <w:marRight w:val="0"/>
      <w:marTop w:val="0"/>
      <w:marBottom w:val="0"/>
      <w:divBdr>
        <w:top w:val="none" w:sz="0" w:space="0" w:color="auto"/>
        <w:left w:val="none" w:sz="0" w:space="0" w:color="auto"/>
        <w:bottom w:val="none" w:sz="0" w:space="0" w:color="auto"/>
        <w:right w:val="none" w:sz="0" w:space="0" w:color="auto"/>
      </w:divBdr>
    </w:div>
    <w:div w:id="665403718">
      <w:bodyDiv w:val="1"/>
      <w:marLeft w:val="0"/>
      <w:marRight w:val="0"/>
      <w:marTop w:val="0"/>
      <w:marBottom w:val="0"/>
      <w:divBdr>
        <w:top w:val="none" w:sz="0" w:space="0" w:color="auto"/>
        <w:left w:val="none" w:sz="0" w:space="0" w:color="auto"/>
        <w:bottom w:val="none" w:sz="0" w:space="0" w:color="auto"/>
        <w:right w:val="none" w:sz="0" w:space="0" w:color="auto"/>
      </w:divBdr>
    </w:div>
    <w:div w:id="1227297014">
      <w:bodyDiv w:val="1"/>
      <w:marLeft w:val="0"/>
      <w:marRight w:val="0"/>
      <w:marTop w:val="0"/>
      <w:marBottom w:val="0"/>
      <w:divBdr>
        <w:top w:val="none" w:sz="0" w:space="0" w:color="auto"/>
        <w:left w:val="none" w:sz="0" w:space="0" w:color="auto"/>
        <w:bottom w:val="none" w:sz="0" w:space="0" w:color="auto"/>
        <w:right w:val="none" w:sz="0" w:space="0" w:color="auto"/>
      </w:divBdr>
    </w:div>
    <w:div w:id="1336104898">
      <w:bodyDiv w:val="1"/>
      <w:marLeft w:val="0"/>
      <w:marRight w:val="0"/>
      <w:marTop w:val="0"/>
      <w:marBottom w:val="0"/>
      <w:divBdr>
        <w:top w:val="none" w:sz="0" w:space="0" w:color="auto"/>
        <w:left w:val="none" w:sz="0" w:space="0" w:color="auto"/>
        <w:bottom w:val="none" w:sz="0" w:space="0" w:color="auto"/>
        <w:right w:val="none" w:sz="0" w:space="0" w:color="auto"/>
      </w:divBdr>
    </w:div>
    <w:div w:id="2097633221">
      <w:bodyDiv w:val="1"/>
      <w:marLeft w:val="0"/>
      <w:marRight w:val="0"/>
      <w:marTop w:val="0"/>
      <w:marBottom w:val="0"/>
      <w:divBdr>
        <w:top w:val="none" w:sz="0" w:space="0" w:color="auto"/>
        <w:left w:val="none" w:sz="0" w:space="0" w:color="auto"/>
        <w:bottom w:val="none" w:sz="0" w:space="0" w:color="auto"/>
        <w:right w:val="none" w:sz="0" w:space="0" w:color="auto"/>
      </w:divBdr>
    </w:div>
    <w:div w:id="21246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br/ana/pt-br/assuntos/regulacao-e-fiscalizacao/outorga/outorgas-emitidas"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52031-D13C-443C-A71B-6B8BC5317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1120</Words>
  <Characters>6169</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Flávia Vitorino</dc:creator>
  <cp:keywords/>
  <dc:description/>
  <cp:lastModifiedBy>William Rafael</cp:lastModifiedBy>
  <cp:revision>4</cp:revision>
  <dcterms:created xsi:type="dcterms:W3CDTF">2024-08-21T14:19:00Z</dcterms:created>
  <dcterms:modified xsi:type="dcterms:W3CDTF">2024-08-22T19:51:00Z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12b7cef5-082e-4c62-9978-f93b79f41267</vt:lpwstr>
  </property>
</Properties>
</file>