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Instituto Mato-grossense do Feijão, Pulses, Colheitas Especiais e Irrigação (IMAFIR-MT)</w:t>
      </w:r>
    </w:p>
    <w:p w:rsidR="00000000" w:rsidDel="00000000" w:rsidP="00000000" w:rsidRDefault="00000000" w:rsidRPr="00000000" w14:paraId="00000002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Universidade Federal de Viçosa (UFV)</w:t>
      </w:r>
    </w:p>
    <w:p w:rsidR="00000000" w:rsidDel="00000000" w:rsidP="00000000" w:rsidRDefault="00000000" w:rsidRPr="00000000" w14:paraId="00000003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Universidade Federal do Rio de Janeiro (UFRJ)</w:t>
      </w:r>
    </w:p>
    <w:p w:rsidR="00000000" w:rsidDel="00000000" w:rsidP="00000000" w:rsidRDefault="00000000" w:rsidRPr="00000000" w14:paraId="00000004">
      <w:pPr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Estudo Envolvendo Levantamento Integrado de Informações dos Recursos Hídricos Superficiais e Subterrâneos para os Polos de Agricultura Irrigada do Centro Sul e do Alto Teles Pires no Estado de Mato Grosso</w:t>
      </w:r>
    </w:p>
    <w:p w:rsidR="00000000" w:rsidDel="00000000" w:rsidP="00000000" w:rsidRDefault="00000000" w:rsidRPr="00000000" w14:paraId="00000009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0" w:lineRule="auto"/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RELATÓRIO FINAL</w:t>
      </w:r>
    </w:p>
    <w:p w:rsidR="00000000" w:rsidDel="00000000" w:rsidP="00000000" w:rsidRDefault="00000000" w:rsidRPr="00000000" w14:paraId="0000000D">
      <w:pPr>
        <w:spacing w:after="0" w:lineRule="auto"/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Meta 6 – Governança</w:t>
      </w:r>
    </w:p>
    <w:p w:rsidR="00000000" w:rsidDel="00000000" w:rsidP="00000000" w:rsidRDefault="00000000" w:rsidRPr="00000000" w14:paraId="0000000E">
      <w:pPr>
        <w:spacing w:after="0" w:lineRule="auto"/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Atividade 6.1 –Diagnóstico da situação atual</w:t>
      </w:r>
    </w:p>
    <w:p w:rsidR="00000000" w:rsidDel="00000000" w:rsidP="00000000" w:rsidRDefault="00000000" w:rsidRPr="00000000" w14:paraId="0000000F">
      <w:pPr>
        <w:spacing w:after="0" w:lineRule="auto"/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Período de 31 de novembro de 2024 a 30 de maio de 2024</w:t>
      </w:r>
    </w:p>
    <w:p w:rsidR="00000000" w:rsidDel="00000000" w:rsidP="00000000" w:rsidRDefault="00000000" w:rsidRPr="00000000" w14:paraId="00000010">
      <w:pPr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center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Agosto de 2024</w:t>
      </w:r>
    </w:p>
    <w:p w:rsidR="00000000" w:rsidDel="00000000" w:rsidP="00000000" w:rsidRDefault="00000000" w:rsidRPr="00000000" w14:paraId="00000018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 – Introdução</w:t>
      </w:r>
    </w:p>
    <w:p w:rsidR="00000000" w:rsidDel="00000000" w:rsidP="00000000" w:rsidRDefault="00000000" w:rsidRPr="00000000" w14:paraId="00000021">
      <w:pPr>
        <w:spacing w:after="0" w:line="276" w:lineRule="auto"/>
        <w:ind w:firstLine="680.3149606299213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 Brasil ocupa a 6ª posição em agricultura irrigada no mundo. Entretanto, com pouco mais de 8 milhões de ha, não corresponde a 3 % da área irrigada em todo o planeta (ANA, 2021). Dados da Agência Nacional de Águas (2021) também estimam que a área adicional irrigável potencial total no país é de 55,85 milhões de ha, dos quais cerca de 10,3 mi ha são, somente, no estado do Mato Grosso. Este estado, que, atualmente, conta apenas 292 mil ha cultivados com irrigação, é o que possui o maior potencial de expansão da agricultura irrigada, além de liderar a produção nacional de diversos produtos agrícolas (soja, milho, algodão, carne bovina p.e.). </w:t>
      </w:r>
    </w:p>
    <w:p w:rsidR="00000000" w:rsidDel="00000000" w:rsidP="00000000" w:rsidRDefault="00000000" w:rsidRPr="00000000" w14:paraId="00000022">
      <w:pPr>
        <w:spacing w:after="0" w:line="276" w:lineRule="auto"/>
        <w:ind w:firstLine="680.3149606299213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Entretanto, o aumento da área agrícola irrigada é dependente do aumento, pela agricultura, da demanda pelos recursos hídricos existentes. Sendo a água um bem de domínio público, limitado, dotado de valor econômico e cuja gestão deve proporcionar seus usos múltiplos (BRASIL, 1997), por vezes, essa gestão não é tão simples de ser feita. Estudos de modelos de governança de recursos hídricos eficazes mundo 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à fora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e levantamento das particularidades sociais, econômicas, hidrológicas, pedológicas e climáticas são primordiais para a expansão da agricultura irrigada de forma sustentável. Proposição de um modelo de governança customizado ao estado do Mato Grosso é chave para o desenvolvimento da irrigação no estado, evitando conflitos pelo uso da água e garantindo a publicidade de informações. </w:t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 – A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u w:val="none"/>
          <w:shd w:fill="auto" w:val="clear"/>
          <w:vertAlign w:val="baseline"/>
          <w:rtl w:val="0"/>
        </w:rPr>
        <w:t xml:space="preserve">tividades desenvolvidas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after="0" w:line="276" w:lineRule="auto"/>
        <w:ind w:firstLine="680.3149606299213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 fim de verificar a relevância econômica da agricultura irrigada no Mato Grosso, foi feito um estudo inicial correlacionando a área agrícola irrigada e o valor financeiro da produção agrícola. Foram tratados os dados georreferenciados de 67 municípios onde há agricultores associados/parceiros da Associação dos Produtores de Feijão, Pulses, Grãos Especiais e Irrigantes de Mato Grosso. Calcularam-se a área irrigada total de cada município e o percentual em relação à área agricultável em potencial, obtida por meio de geoprocessamento dos dados do Cadastro Ambiental Rural. Assim, foram obtidas uma medida absoluta para a agricultura irrigada mato-grossense e uma relativa à relevância dela comparada ao cultivo em sequeiro. Em paralelo, a Produção Agrícola Municipal - PAM, contabilizada pelo IBGE (2022), foi levantada para os 67 municípios da base de dados da APROFIR-MT, como também a relação entre a PAM e a área agrícola potencial obtida do CAR. A seguir, tabela com os dados obtidos.</w:t>
      </w:r>
    </w:p>
    <w:p w:rsidR="00000000" w:rsidDel="00000000" w:rsidP="00000000" w:rsidRDefault="00000000" w:rsidRPr="00000000" w14:paraId="00000026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105.0" w:type="dxa"/>
        <w:jc w:val="left"/>
        <w:tblLayout w:type="fixed"/>
        <w:tblLook w:val="0600"/>
      </w:tblPr>
      <w:tblGrid>
        <w:gridCol w:w="1320"/>
        <w:gridCol w:w="1530"/>
        <w:gridCol w:w="1680"/>
        <w:gridCol w:w="1260"/>
        <w:gridCol w:w="1755"/>
        <w:gridCol w:w="1560"/>
        <w:tblGridChange w:id="0">
          <w:tblGrid>
            <w:gridCol w:w="1320"/>
            <w:gridCol w:w="1530"/>
            <w:gridCol w:w="1680"/>
            <w:gridCol w:w="1260"/>
            <w:gridCol w:w="1755"/>
            <w:gridCol w:w="1560"/>
          </w:tblGrid>
        </w:tblGridChange>
      </w:tblGrid>
      <w:tr>
        <w:trPr>
          <w:cantSplit w:val="0"/>
          <w:trHeight w:val="465" w:hRule="atLeast"/>
          <w:tblHeader w:val="0"/>
        </w:trPr>
        <w:tc>
          <w:tcPr>
            <w:gridSpan w:val="6"/>
            <w:tcBorders>
              <w:top w:color="ffffff" w:space="0" w:sz="5" w:val="single"/>
              <w:left w:color="ffffff" w:space="0" w:sz="5" w:val="single"/>
              <w:bottom w:color="000000" w:space="0" w:sz="5" w:val="single"/>
              <w:right w:color="ffffff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spacing w:after="0" w:line="276" w:lineRule="auto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Tabela 1 - Área irrigada e produção agrícola municipal de 67 municípios do Mato Grosso onde há produtores mapeados pela APROFIR-MT.</w:t>
            </w:r>
          </w:p>
        </w:tc>
      </w:tr>
      <w:tr>
        <w:trPr>
          <w:cantSplit w:val="0"/>
          <w:trHeight w:val="46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Município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after="0" w:line="276" w:lineRule="auto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Área irrigada total (ha) (IMAFIR)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spacing w:after="0" w:line="276" w:lineRule="auto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Área potencial agrícola (ha) (CAR)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after="0" w:line="276" w:lineRule="auto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Percentual irrigado (%)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spacing w:after="0" w:line="276" w:lineRule="auto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PAM-2022 (R$) (IBGE)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spacing w:after="0" w:line="276" w:lineRule="auto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Produtividade (R$/ha)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Primavera do Leste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26.565,74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593.576,5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4,48%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5.231.579.000,00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8.813,66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Vera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9.497,71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340.609,0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2,79%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2.469.851.000,00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7.251,28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Sorriso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26.693,96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1.024.723,0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2,60%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11.479.187.000,00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11.202,23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6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Lucas do Rio Verde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9.030,57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479.572,5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1,88%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4.342.639.000,00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9.055,23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Ipiranga do Norte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4.880,10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450.338,2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1,08%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3.867.528.000,00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8.588,05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2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Novo São Joaquim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5.506,12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593.498,8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0,93%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1.619.470.000,00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2.728,68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Poxoréu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5.075,06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572.193,0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0,89%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1.276.959.000,00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2.231,69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E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Campo Novo do Parecis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6.111,94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764.502,8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0,80%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8.155.043.000,00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10.667,12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4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Nova Ubiratã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11.822,76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1.488.480,0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0,79%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6.831.008.000,00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4.589,25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A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Bom Jesus do Araguaia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3.005,97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475.419,5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0,63%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1.995.693.000,00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4.197,75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0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Santo Antônio do Leste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2.176,71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353.960,2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0,61%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2.158.624.000,00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6.098,49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6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General Carneiro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1.707,34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278.276,0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0,61%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1.022.575.000,00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3.674,68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C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Tapurah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3.507,55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658.016,4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0,53%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3.417.230.000,00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5.193,23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2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Campo Verde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2.648,57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540.650,1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0,49%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4.836.099.000,00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8.944,97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8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Porto dos Gaúchos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3.644,48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827.632,4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0,44%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2.975.552.000,00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3.595,26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E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Barra do Garças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3.053,79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711.778,7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0,43%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628.840.000,00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883,48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4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Nova Mutum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4.729,63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1.171.433,0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0,40%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6.334.896.000,00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5.407,82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Sinop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1.186,37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379.268,4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0,31%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2.575.062.000,00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6.789,55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0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Santa Rita do Trivelato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1.763,63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572.336,5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0,31%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2.662.715.000,00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4.652,36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6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Dom Aquino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642,38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212.437,2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0,30%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1.029.442.000,00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4.845,87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C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Pedra Preta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940,73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465.568,8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0,20%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1.244.112.000,00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2.672,24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2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Querência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2.291,71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1.214.086,0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0,19%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4.337.300.000,00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3.572,48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8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Torixoréu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378,51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204.215,8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0,19%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347.612.000,00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1.702,18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E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Itiquira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1.730,68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947.138,1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0,18%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3.038.326.000,00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3.207,90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4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Chapada dos Guimarães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1.090,77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600.851,3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0,18%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625.946.000,00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1.041,77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A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Sapezal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1.523,16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1.070.539,0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0,14%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8.018.870.000,00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7.490,50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0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Santa Carmem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588,56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446.744,6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0,13%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1.898.067.000,00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4.248,66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6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Cláudia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559,13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445.088,6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0,13%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1.566.550.000,00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3.519,64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C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Água Boa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1.180,73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944.636,1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0,12%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2.205.198.000,00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2.334,44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2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Guiratinga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522,20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458.265,7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0,11%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1.012.319.000,00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2.209,02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8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Alto Garças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412,07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379.898,7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0,11%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1.568.924.000,00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4.129,85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E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São José do Rio Claro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561,84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542.485,2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2.332.523.000,00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4.299,70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4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Rondonópolis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463,01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448.170,7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1.290.043.000,00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2.878,46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A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Nova Maringá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1.316,98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1.346.903,0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0,10%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2.352.647.000,00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1.746,71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0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Diamantino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857,43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977.291,7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0,09%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5.831.472.000,00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5.966,97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6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Nova Xavantina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549,22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656.337,6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0,08%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617.518.000,00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940,85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C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Araguaiana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391,59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596.469,1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0,07%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125.317.000,00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210,10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2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Nortelândia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85,42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141.759,8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0,06%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456.787.000,00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3.222,26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8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Ribeirão Cascalheira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676,38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1.168.126,0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0,06%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1.004.999.000,00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860,35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E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Gaúcha do Norte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525,45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1.216.126,0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0,04%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2.531.880.000,00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2.081,92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4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Paranatinga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887,08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2.671.518,0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0,03%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3.646.970.000,00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1.365,13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A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Tabaporã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251,63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907.520,3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0,03%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3.258.747.000,00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3.590,83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0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Feliz Natal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188,25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747.197,6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0,03%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2.076.272.000,00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2.778,75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6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Tangará da Serra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161,22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758.719,1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0,02%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1.888.730.000,00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2.489,37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C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Canarana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183,88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924.596,0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0,02%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3.888.207.000,00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4.205,30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2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Brasnorte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306,49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1.741.600,0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0,02%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3.764.255.000,00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2.161,38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8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Santo Afonso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12,56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116.532,9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0,01%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204.507.000,00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1.754,93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E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Arenápolis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33.469,0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73.829.000,00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2.205,89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4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Barra do Bugres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572.129,4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489.191.000,00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855,04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A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Campinápolis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370.097,0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306.800.000,00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828,97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0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Canabrava do Norte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605.498,6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399.689.000,00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660,10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6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Cocalinho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1.836.100,0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207.074.000,00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112,78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C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Comodoro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1.062.373,0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1.380.489.000,00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1.299,44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2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Confresa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880.911,3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824.748.000,00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936,24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8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Cuiabá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220.417,5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8.731.000,00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39,61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E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Denise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141.117,3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348.982.000,00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2.472,99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4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Itanhangá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285.739,4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1.346.829.000,00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4.713,49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A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Nova Lacerda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457.937,2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437.232.000,00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954,79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0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Nova Marilândia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195.029,0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74.856.000,00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383,82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6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Nova Nazaré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172.395,5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216.563.000,00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1.256,20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C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Nova Olímpia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171.798,8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210.034.000,00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1.222,56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2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Pontal do Araguaia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259.379,2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33.472.000,00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129,05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8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Rosário Oeste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A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752.596,8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412.594.000,00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548,23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E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Santo Antônio de Leverger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0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943.713,3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578.349.000,00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612,84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4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São Félix do Araguaia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6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1.674.344,0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7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8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3.413.695.000,00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9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2.038,83</w:t>
            </w:r>
          </w:p>
        </w:tc>
      </w:tr>
      <w:tr>
        <w:trPr>
          <w:cantSplit w:val="0"/>
          <w:trHeight w:val="46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A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Vila Bela da Santíssima Trindade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B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C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1.473.770,0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D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E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644.326.000,00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F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437,20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0">
            <w:pPr>
              <w:spacing w:after="0" w:line="276" w:lineRule="auto"/>
              <w:jc w:val="both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Vila Rica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1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2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994.402,4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3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0,00%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4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715.026.000,00</w:t>
            </w:r>
          </w:p>
        </w:tc>
        <w:tc>
          <w:tcPr>
            <w:tcBorders>
              <w:top w:color="000000" w:space="0" w:sz="5" w:val="single"/>
              <w:left w:color="000000" w:space="0" w:sz="5" w:val="single"/>
              <w:bottom w:color="000000" w:space="0" w:sz="5" w:val="single"/>
              <w:right w:color="000000" w:space="0" w:sz="5" w:val="single"/>
            </w:tcBorders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5">
            <w:pPr>
              <w:spacing w:after="0" w:line="276" w:lineRule="auto"/>
              <w:jc w:val="righ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719,05</w:t>
            </w:r>
          </w:p>
        </w:tc>
      </w:tr>
    </w:tbl>
    <w:p w:rsidR="00000000" w:rsidDel="00000000" w:rsidP="00000000" w:rsidRDefault="00000000" w:rsidRPr="00000000" w14:paraId="000001C6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spacing w:after="0" w:line="276" w:lineRule="auto"/>
        <w:ind w:firstLine="680.3149606299213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Existe uma correlação (r) de 0,642 entre a área irrigada total e a produtividade e de 0,649 entre o percentual irrigado e a produtividade, valor considerado moderado (DANCEY e REIDY, 2005). Dentre os municípios onde há uso de irrigação na agricultura, os mais eficientes, quer dizer, produzem mais por unidade de área cultivada, têm mais agricultura irrigada em 64 % dos casos. Diversos aspectos climáticos e outros tecnológicos influenciam e estão associados à eficiência produtiva na agricultura, mas a irrigação certamente é um deles, como os dados revelam. Por exemplo, municípios da Região Geográfica Imediata de Tangará da Serra, como Sapezal e Campo Novo do Parecis estão a longitudes maiores que 57°O, onde a precipitação atinge, facilmente, 2000 mm e, comumente, inicia-se com estabilidade nas primeiras semanas de outubro. Eles possuem área irrigada de 0,14 e 0,80 %, respectivamente, do potencial total agricultável, mas são altamente eficientes no desempenho econômico da agricultura.</w:t>
      </w:r>
    </w:p>
    <w:p w:rsidR="00000000" w:rsidDel="00000000" w:rsidP="00000000" w:rsidRDefault="00000000" w:rsidRPr="00000000" w14:paraId="000001C9">
      <w:pPr>
        <w:spacing w:after="0" w:line="276" w:lineRule="auto"/>
        <w:ind w:firstLine="680.3149606299213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 coeficiente de correlação (r) não expressa uma relação de causalidade entre as variáveis, mas, apenas, o quão associadas elas são. Entretanto, é coerente presumir 1) que quanto mais produtivo é o município agrícola, mais viável torna-se investir em sistemas de irrigação e; 2) quanto maior a proporção de terras irrigadas, menor a suscetibilidade a eventos climáticos adversos e maior o potencial produtivo do sistema agrícola, que se traduz em maior renda. Os municípios de Sorriso e Santa Rita do Trivelato, por exemplo, que pertencem à Região Imediata de Sorriso e estão no Polo de Irrigação do Alto Teles 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Pires, têm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2,60 e 0,31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% de áreas agrícolas irrigadas respectivamente. Valores baixos e que demonstram o potencial de expansão da irrigação, mas cerca de 8 vezes discrepantes entre si. A relação PAM/área agrícola potencial de Sorriso, maior área irrigada no estado, chega a R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$11.202,23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/ha, enquanto a de Santa Rita do Trivelato é de R$4.652,36/ha. Seguem a localização dos pivôs centrais e das áreas agrícolas dos municípios citados abaixo:</w:t>
      </w:r>
    </w:p>
    <w:p w:rsidR="00000000" w:rsidDel="00000000" w:rsidP="00000000" w:rsidRDefault="00000000" w:rsidRPr="00000000" w14:paraId="000001CA">
      <w:pPr>
        <w:spacing w:after="0" w:line="276" w:lineRule="auto"/>
        <w:jc w:val="lef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605338" cy="3251276"/>
            <wp:effectExtent b="0" l="0" r="0" t="0"/>
            <wp:docPr id="179351908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05338" cy="32512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-47624</wp:posOffset>
            </wp:positionH>
            <wp:positionV relativeFrom="paragraph">
              <wp:posOffset>114300</wp:posOffset>
            </wp:positionV>
            <wp:extent cx="4786313" cy="3379041"/>
            <wp:effectExtent b="0" l="0" r="0" t="0"/>
            <wp:wrapNone/>
            <wp:docPr id="179351908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86313" cy="337904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D2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spacing w:after="0" w:line="276" w:lineRule="auto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Imagem 1 - Mapas dos municípios, áreas agrícolas dos produtores da APROFIR, áreas agrícolas do SiCAR e dos pivôs centrais em Sorriso e Santa Rita do Trivelato.</w:t>
      </w:r>
    </w:p>
    <w:p w:rsidR="00000000" w:rsidDel="00000000" w:rsidP="00000000" w:rsidRDefault="00000000" w:rsidRPr="00000000" w14:paraId="000001E5">
      <w:pPr>
        <w:spacing w:after="0"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spacing w:after="0" w:line="276" w:lineRule="auto"/>
        <w:ind w:firstLine="680.3149606299213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Também a exemplo, seguem os mapas de Primavera do Leste, município em segundo na agricultura irrigada em Mato Grosso, e de Querência:</w:t>
      </w:r>
    </w:p>
    <w:p w:rsidR="00000000" w:rsidDel="00000000" w:rsidP="00000000" w:rsidRDefault="00000000" w:rsidRPr="00000000" w14:paraId="000001E7">
      <w:pPr>
        <w:spacing w:after="0" w:line="276" w:lineRule="auto"/>
        <w:ind w:firstLine="680.3149606299213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spacing w:after="0" w:line="276" w:lineRule="auto"/>
        <w:jc w:val="lef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443413" cy="3131851"/>
            <wp:effectExtent b="0" l="0" r="0" t="0"/>
            <wp:docPr id="179351908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43413" cy="31318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4395788" cy="3101516"/>
            <wp:effectExtent b="0" l="0" r="0" t="0"/>
            <wp:docPr id="179351908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95788" cy="31015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spacing w:after="0" w:line="276" w:lineRule="auto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Imagem 2 - Mapas dos municípios, áreas agrícolas dos produtores da APROFIR, áreas agrícolas do SiCAR e dos pivôs centrais em Primavera do Leste e Querência.</w:t>
      </w:r>
    </w:p>
    <w:p w:rsidR="00000000" w:rsidDel="00000000" w:rsidP="00000000" w:rsidRDefault="00000000" w:rsidRPr="00000000" w14:paraId="000001EC">
      <w:pPr>
        <w:spacing w:after="0" w:line="276" w:lineRule="auto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spacing w:after="0" w:line="276" w:lineRule="auto"/>
        <w:ind w:firstLine="72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Outra atividade realizada, com o intuito de obter as informações para a aplicação das Contas Econômicas e Ambientais de Água (CEAA) na bacia hidrológica do Rio das Mortes, foi identificado a ferramenta do Soil and Water Assessment Tool (SWAT).  As CEAA é uma ferramenta consistente e abrangente, contemplada por um conjunto de padrões internacionais que permitem a análise das relações do meio ambiente com a economia. Por ser uma ferramenta muito avançada e necessitar de dados complexos, em função disso, a utilização do SWAT visa facilitar a obtenção desses dados. O SWAT é um modelo em escala de sub-bacia hidrográfica a bacia hidrográfica usado para simular a qualidade e quantidade de águas superficiais e subterrâneas e prever o impacto ambiental do uso da terra, práticas de gestão da terra e mudanças climáticas.</w:t>
      </w:r>
    </w:p>
    <w:p w:rsidR="00000000" w:rsidDel="00000000" w:rsidP="00000000" w:rsidRDefault="00000000" w:rsidRPr="00000000" w14:paraId="000001EE">
      <w:pPr>
        <w:spacing w:after="0" w:line="276" w:lineRule="auto"/>
        <w:ind w:firstLine="72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Inicialmente, foi realizada uma revisão bibliográfica para compreender como o SWAT tem sido utilizado em estudos correlacionados às CEAA, o que permitiu identificar trabalhos semelhantes e potenciais desafios. Em seguida, deu-se início à coleta de dados da bacia hidrográfica para alimentar o modelo. Devido a grande área,  número e preparo de dados, o processamento tem exigido bastante tempo, até o momento, o delineamento da bacia já foi concluído. O próximo passo envolve a classificação dos tipos e usos do solo, a inserção dos dados climáticos fornecidos pelo Prof. Marcos Heil, além da incorporação das informações sobre captação e lançamento de água nos corpos hídricos da bacia. As etapas subsequentes estão bem definidas, o que deve permitir a continuidade eficiente da modelagem e análise com o SWAT.</w:t>
      </w:r>
    </w:p>
    <w:p w:rsidR="00000000" w:rsidDel="00000000" w:rsidP="00000000" w:rsidRDefault="00000000" w:rsidRPr="00000000" w14:paraId="000001E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72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Além disso, em janeiro de 2024, foram feitas visitas pelo professor orientador a entes envolvidos na governança dos recursos hídricos. O foco principal das visitas foi identificar vantagens, desvantagens, potencialidades e limites da expansão da irrigação na agricultura mato-grossense onde foram realizadas reuniões com representantes do poder público municipal, reunião com lideranças de produtores rurais, representantes de organizações da sociedade civil, empresas de insumos, prestação de serviço e comercialização de produtos agropecuários e produtores rurais.</w:t>
      </w:r>
    </w:p>
    <w:p w:rsidR="00000000" w:rsidDel="00000000" w:rsidP="00000000" w:rsidRDefault="00000000" w:rsidRPr="00000000" w14:paraId="000001F0">
      <w:pPr>
        <w:spacing w:after="0" w:line="276" w:lineRule="auto"/>
        <w:ind w:left="142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ab/>
        <w:t xml:space="preserve">As visitas realizadas e informações coletadas foram:</w:t>
      </w:r>
    </w:p>
    <w:p w:rsidR="00000000" w:rsidDel="00000000" w:rsidP="00000000" w:rsidRDefault="00000000" w:rsidRPr="00000000" w14:paraId="000001F1">
      <w:pPr>
        <w:spacing w:after="0" w:line="276" w:lineRule="auto"/>
        <w:ind w:left="142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numPr>
          <w:ilvl w:val="0"/>
          <w:numId w:val="1"/>
        </w:numPr>
        <w:spacing w:after="0" w:line="276" w:lineRule="auto"/>
        <w:ind w:left="72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Visita à DINETEC (Dia de Negócios e Tecnologia):</w:t>
      </w:r>
    </w:p>
    <w:p w:rsidR="00000000" w:rsidDel="00000000" w:rsidP="00000000" w:rsidRDefault="00000000" w:rsidRPr="00000000" w14:paraId="000001F3">
      <w:pPr>
        <w:numPr>
          <w:ilvl w:val="1"/>
          <w:numId w:val="1"/>
        </w:numPr>
        <w:spacing w:after="0" w:line="276" w:lineRule="auto"/>
        <w:ind w:left="144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Interação com a revenda de produtos e equipamentos para irrigação - Produtividade Irrigação -  de Primavera do Leste.</w:t>
      </w:r>
    </w:p>
    <w:p w:rsidR="00000000" w:rsidDel="00000000" w:rsidP="00000000" w:rsidRDefault="00000000" w:rsidRPr="00000000" w14:paraId="000001F4">
      <w:pPr>
        <w:numPr>
          <w:ilvl w:val="1"/>
          <w:numId w:val="1"/>
        </w:numPr>
        <w:spacing w:after="0" w:line="276" w:lineRule="auto"/>
        <w:ind w:left="144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Interação com o produtor Rogério Brescovici, de Primavera do Leste. Já possui pivôs em sua propriedade e demonstrou bastante interesse no projeto. Sua filha, Giovana Brescovici, realiza estágio voluntário para o projeto. Demonstrou interesse também pela irrigação de pastagem. </w:t>
      </w:r>
    </w:p>
    <w:p w:rsidR="00000000" w:rsidDel="00000000" w:rsidP="00000000" w:rsidRDefault="00000000" w:rsidRPr="00000000" w14:paraId="000001F5">
      <w:pPr>
        <w:spacing w:after="0" w:line="276" w:lineRule="auto"/>
        <w:ind w:left="72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numPr>
          <w:ilvl w:val="0"/>
          <w:numId w:val="3"/>
        </w:numPr>
        <w:spacing w:after="0" w:line="276" w:lineRule="auto"/>
        <w:ind w:left="72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Visita à Fazenda do produtor Marcos da Rosa.</w:t>
      </w:r>
    </w:p>
    <w:p w:rsidR="00000000" w:rsidDel="00000000" w:rsidP="00000000" w:rsidRDefault="00000000" w:rsidRPr="00000000" w14:paraId="000001F7">
      <w:pPr>
        <w:numPr>
          <w:ilvl w:val="1"/>
          <w:numId w:val="3"/>
        </w:numPr>
        <w:spacing w:after="0" w:line="276" w:lineRule="auto"/>
        <w:ind w:left="144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Aplicação e validação do Questionário com o Marcos da Rosa, Ex presidente da Aprosoja Brasil e produtor no município de Canarana/MT ;</w:t>
      </w:r>
    </w:p>
    <w:p w:rsidR="00000000" w:rsidDel="00000000" w:rsidP="00000000" w:rsidRDefault="00000000" w:rsidRPr="00000000" w14:paraId="000001F8">
      <w:pPr>
        <w:numPr>
          <w:ilvl w:val="1"/>
          <w:numId w:val="3"/>
        </w:numPr>
        <w:spacing w:after="0" w:line="276" w:lineRule="auto"/>
        <w:ind w:left="144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Interação com o Fernando, produtor que esteve na fazenda no dia;</w:t>
      </w:r>
    </w:p>
    <w:p w:rsidR="00000000" w:rsidDel="00000000" w:rsidP="00000000" w:rsidRDefault="00000000" w:rsidRPr="00000000" w14:paraId="000001F9">
      <w:pPr>
        <w:numPr>
          <w:ilvl w:val="1"/>
          <w:numId w:val="3"/>
        </w:numPr>
        <w:spacing w:after="0" w:line="276" w:lineRule="auto"/>
        <w:ind w:left="144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Reunião on-line com Everardo Mantovani, quanto a operações de leasing para a agricultura irrigada com a participação do Professor Aziz Galvão, Ana Paula Iria, Afrânio Migliari, Marcos da Rosa e Fernando.</w:t>
      </w:r>
    </w:p>
    <w:p w:rsidR="00000000" w:rsidDel="00000000" w:rsidP="00000000" w:rsidRDefault="00000000" w:rsidRPr="00000000" w14:paraId="000001FA">
      <w:pPr>
        <w:spacing w:after="0" w:line="276" w:lineRule="auto"/>
        <w:ind w:left="72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numPr>
          <w:ilvl w:val="0"/>
          <w:numId w:val="2"/>
        </w:numPr>
        <w:spacing w:after="0" w:line="276" w:lineRule="auto"/>
        <w:ind w:left="72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Reunião com Endrigo Dalcin, Ex presidente da Aprosoja Mato Grosso e produtor da região de Nova Xavantina. </w:t>
      </w:r>
    </w:p>
    <w:p w:rsidR="00000000" w:rsidDel="00000000" w:rsidP="00000000" w:rsidRDefault="00000000" w:rsidRPr="00000000" w14:paraId="000001FC">
      <w:pPr>
        <w:spacing w:after="0" w:line="276" w:lineRule="auto"/>
        <w:ind w:left="72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numPr>
          <w:ilvl w:val="0"/>
          <w:numId w:val="2"/>
        </w:numPr>
        <w:spacing w:after="0" w:line="276" w:lineRule="auto"/>
        <w:ind w:left="72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Reunião com João Bang, Prefeito de Nova Xavantina, na qual estiveram presentes também Aurio e João Ailton Barbosa, secretários municipais de agricultura e meio ambiente. Na ocasião reforçaram a problemática do assoreamento e da diminuição da vazão dos cursos d'água. Foi mencionado também a presença de 2 propriedades com irrigação no município e a existência de linhas de transmissão para sistemas de irrigação futuros.</w:t>
      </w:r>
    </w:p>
    <w:p w:rsidR="00000000" w:rsidDel="00000000" w:rsidP="00000000" w:rsidRDefault="00000000" w:rsidRPr="00000000" w14:paraId="000001FE">
      <w:pPr>
        <w:spacing w:after="0" w:line="276" w:lineRule="auto"/>
        <w:ind w:left="72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numPr>
          <w:ilvl w:val="0"/>
          <w:numId w:val="2"/>
        </w:numPr>
        <w:spacing w:after="0" w:line="276" w:lineRule="auto"/>
        <w:ind w:left="72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Reunião com José Bispo dos Santos, Secretário de desenvolvimento rural do município, e Fabiano Dall Agnol, produtor rural e 2º secretário do sindicato rural do município.</w:t>
      </w:r>
    </w:p>
    <w:p w:rsidR="00000000" w:rsidDel="00000000" w:rsidP="00000000" w:rsidRDefault="00000000" w:rsidRPr="00000000" w14:paraId="00000200">
      <w:pPr>
        <w:numPr>
          <w:ilvl w:val="1"/>
          <w:numId w:val="2"/>
        </w:numPr>
        <w:spacing w:after="0" w:line="276" w:lineRule="auto"/>
        <w:ind w:left="144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Nova Xavantina faz parte do PCI MT, em função disso, já possui o levantamento de informações de interesse, como os rios da região, e acesso a recursos. Outro ponto interessante é que algumas propriedades da região realizam 3º safra com feno, e outras já adotam o sistema lavoura pecuária. Além disso, ressaltaram que o município possui energia elétrica disponível para atender a demanda de pivôs para irrigação. Cabe ressaltar que reclamaram do PCI pois a princípio o município teria prioridade na análise do CAR por fazer parte, no entanto, essa prioridade até o momento não ocorreu.</w:t>
      </w:r>
    </w:p>
    <w:p w:rsidR="00000000" w:rsidDel="00000000" w:rsidP="00000000" w:rsidRDefault="00000000" w:rsidRPr="00000000" w14:paraId="00000201">
      <w:pPr>
        <w:spacing w:after="0" w:line="276" w:lineRule="auto"/>
        <w:ind w:left="72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numPr>
          <w:ilvl w:val="0"/>
          <w:numId w:val="2"/>
        </w:numPr>
        <w:spacing w:after="0" w:line="276" w:lineRule="auto"/>
        <w:ind w:left="72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Reunião com Henrique Pérola, ex-presidente da ACEBRA, Cerealista e dono da Campo Real Agroindustrial. </w:t>
      </w:r>
    </w:p>
    <w:p w:rsidR="00000000" w:rsidDel="00000000" w:rsidP="00000000" w:rsidRDefault="00000000" w:rsidRPr="00000000" w14:paraId="00000203">
      <w:pPr>
        <w:numPr>
          <w:ilvl w:val="1"/>
          <w:numId w:val="2"/>
        </w:numPr>
        <w:spacing w:after="0" w:line="276" w:lineRule="auto"/>
        <w:ind w:left="1440" w:hanging="36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Na ocasião discutiu-se a necessidade de preparar as propriedades para as exigências de mercado e ressaltou-se a importância de programas de assistência aos produtores quanto à gestão de suas propriedades.</w:t>
      </w:r>
    </w:p>
    <w:p w:rsidR="00000000" w:rsidDel="00000000" w:rsidP="00000000" w:rsidRDefault="00000000" w:rsidRPr="00000000" w14:paraId="000002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42" w:right="0" w:firstLine="0"/>
        <w:jc w:val="both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REFERÊNCIAS</w:t>
      </w:r>
    </w:p>
    <w:p w:rsidR="00000000" w:rsidDel="00000000" w:rsidP="00000000" w:rsidRDefault="00000000" w:rsidRPr="00000000" w14:paraId="00000206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AGÊNCIA NACIONAL DE ÁGUAS - ANA. </w:t>
      </w: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Atlas Irrigação: 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Uso da Água na Agricultura Irrigada. 2ª ed. Brasília - DF: ANA, 2021. Disponível em: &lt;</w:t>
      </w:r>
      <w:hyperlink r:id="rId11">
        <w:r w:rsidDel="00000000" w:rsidR="00000000" w:rsidRPr="00000000">
          <w:rPr>
            <w:rFonts w:ascii="Times New Roman" w:cs="Times New Roman" w:eastAsia="Times New Roman" w:hAnsi="Times New Roman"/>
            <w:color w:val="1155cc"/>
            <w:u w:val="single"/>
            <w:rtl w:val="0"/>
          </w:rPr>
          <w:t xml:space="preserve">https://metadados.snirh.gov.br/geonetwork/srv/por/catalog.search#/metadata/1b19cbb4-10fa-4be4-96db-b3dcd8975db0</w:t>
        </w:r>
      </w:hyperlink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&gt;.</w:t>
      </w:r>
    </w:p>
    <w:p w:rsidR="00000000" w:rsidDel="00000000" w:rsidP="00000000" w:rsidRDefault="00000000" w:rsidRPr="00000000" w14:paraId="00000207">
      <w:pPr>
        <w:spacing w:after="0"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spacing w:after="200" w:line="276" w:lineRule="auto"/>
        <w:ind w:right="-562.7952755905511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DANCEY, C &amp; REIDY, J. </w:t>
      </w: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Estatística Sem Matemática para Psicologia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: usando SPSS para Windows. Porto Alegre, Artmed: 3ª ed., 608 p. 2005.</w:t>
      </w:r>
    </w:p>
    <w:p w:rsidR="00000000" w:rsidDel="00000000" w:rsidP="00000000" w:rsidRDefault="00000000" w:rsidRPr="00000000" w14:paraId="00000209">
      <w:pPr>
        <w:spacing w:after="200" w:line="276" w:lineRule="auto"/>
        <w:ind w:right="-562.7952755905511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INSTITUTO BRASILEIRO DE GEOGRAFIA E ESTATÍSTICA - IBGE. </w:t>
      </w: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PAM - Produção Agrícola Municipal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: Principais 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resultados 2022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. Disponível em: &lt;</w:t>
      </w:r>
      <w:hyperlink r:id="rId12">
        <w:r w:rsidDel="00000000" w:rsidR="00000000" w:rsidRPr="00000000">
          <w:rPr>
            <w:rFonts w:ascii="Times New Roman" w:cs="Times New Roman" w:eastAsia="Times New Roman" w:hAnsi="Times New Roman"/>
            <w:color w:val="1155cc"/>
            <w:u w:val="single"/>
            <w:rtl w:val="0"/>
          </w:rPr>
          <w:t xml:space="preserve">https://www.ibge.gov.br/estatisticas/economicas/agricultura-e-pecuaria/9117-producao-agricola-municipal-culturas-temporarias-e-permanentes.html?=&amp;t=resultados</w:t>
        </w:r>
      </w:hyperlink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&gt; </w:t>
      </w:r>
    </w:p>
    <w:p w:rsidR="00000000" w:rsidDel="00000000" w:rsidP="00000000" w:rsidRDefault="00000000" w:rsidRPr="00000000" w14:paraId="0000020A">
      <w:pPr>
        <w:spacing w:after="0" w:line="276" w:lineRule="auto"/>
        <w:ind w:right="-562.7952755905511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BRASIL. Lei nº 9.433, de 8 de janeiro de 1997. Política Nacional de Recursos Hídricos. Brasília, DF, 08 jan. 1997. Disponível em: &lt;</w:t>
      </w:r>
      <w:hyperlink r:id="rId13">
        <w:r w:rsidDel="00000000" w:rsidR="00000000" w:rsidRPr="00000000">
          <w:rPr>
            <w:rFonts w:ascii="Times New Roman" w:cs="Times New Roman" w:eastAsia="Times New Roman" w:hAnsi="Times New Roman"/>
            <w:color w:val="1155cc"/>
            <w:u w:val="single"/>
            <w:rtl w:val="0"/>
          </w:rPr>
          <w:t xml:space="preserve">//www.planalto.gov.br/ccivil_03/LEIS/L9433.</w:t>
        </w:r>
      </w:hyperlink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&gt;. Acesso em: 19 abr. 2024.</w:t>
      </w:r>
    </w:p>
    <w:p w:rsidR="00000000" w:rsidDel="00000000" w:rsidP="00000000" w:rsidRDefault="00000000" w:rsidRPr="00000000" w14:paraId="0000020B">
      <w:pPr>
        <w:spacing w:line="24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spacing w:line="36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1440" w:top="1440" w:left="1440" w:right="14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pt-BR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80" w:before="360" w:lineRule="auto"/>
    </w:pPr>
    <w:rPr>
      <w:rFonts w:ascii="Calibri" w:cs="Calibri" w:eastAsia="Calibri" w:hAnsi="Calibri"/>
      <w:color w:val="2f5496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160" w:lineRule="auto"/>
    </w:pPr>
    <w:rPr>
      <w:rFonts w:ascii="Calibri" w:cs="Calibri" w:eastAsia="Calibri" w:hAnsi="Calibri"/>
      <w:color w:val="2f5496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160" w:lineRule="auto"/>
    </w:pPr>
    <w:rPr>
      <w:color w:val="2f5496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80" w:lineRule="auto"/>
    </w:pPr>
    <w:rPr>
      <w:i w:val="1"/>
      <w:color w:val="2f5496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80" w:lineRule="auto"/>
    </w:pPr>
    <w:rPr>
      <w:color w:val="2f5496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40" w:lineRule="auto"/>
    </w:pPr>
    <w:rPr>
      <w:i w:val="1"/>
      <w:color w:val="595959"/>
    </w:rPr>
  </w:style>
  <w:style w:type="paragraph" w:styleId="Title">
    <w:name w:val="Title"/>
    <w:basedOn w:val="Normal"/>
    <w:next w:val="Normal"/>
    <w:pPr>
      <w:spacing w:after="80" w:line="240" w:lineRule="auto"/>
    </w:pPr>
    <w:rPr>
      <w:rFonts w:ascii="Calibri" w:cs="Calibri" w:eastAsia="Calibri" w:hAnsi="Calibri"/>
      <w:sz w:val="56"/>
      <w:szCs w:val="56"/>
    </w:rPr>
  </w:style>
  <w:style w:type="paragraph" w:styleId="Normal" w:default="1">
    <w:name w:val="Normal"/>
    <w:qFormat w:val="1"/>
    <w:rsid w:val="00CD573F"/>
  </w:style>
  <w:style w:type="paragraph" w:styleId="Ttulo1">
    <w:name w:val="heading 1"/>
    <w:basedOn w:val="Normal"/>
    <w:next w:val="Normal"/>
    <w:link w:val="Ttulo1Char"/>
    <w:uiPriority w:val="9"/>
    <w:qFormat w:val="1"/>
    <w:rsid w:val="00CD573F"/>
    <w:pPr>
      <w:keepNext w:val="1"/>
      <w:keepLines w:val="1"/>
      <w:spacing w:after="80" w:before="360"/>
      <w:outlineLvl w:val="0"/>
    </w:pPr>
    <w:rPr>
      <w:rFonts w:asciiTheme="majorHAnsi" w:cstheme="majorBidi" w:eastAsiaTheme="majorEastAsia" w:hAnsiTheme="majorHAnsi"/>
      <w:color w:val="2f5496" w:themeColor="accent1" w:themeShade="0000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 w:val="1"/>
    <w:unhideWhenUsed w:val="1"/>
    <w:qFormat w:val="1"/>
    <w:rsid w:val="00CD573F"/>
    <w:pPr>
      <w:keepNext w:val="1"/>
      <w:keepLines w:val="1"/>
      <w:spacing w:after="80" w:before="160"/>
      <w:outlineLvl w:val="1"/>
    </w:pPr>
    <w:rPr>
      <w:rFonts w:asciiTheme="majorHAnsi" w:cstheme="majorBidi" w:eastAsiaTheme="majorEastAsia" w:hAnsiTheme="majorHAnsi"/>
      <w:color w:val="2f5496" w:themeColor="accent1" w:themeShade="0000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 w:val="1"/>
    <w:unhideWhenUsed w:val="1"/>
    <w:qFormat w:val="1"/>
    <w:rsid w:val="00CD573F"/>
    <w:pPr>
      <w:keepNext w:val="1"/>
      <w:keepLines w:val="1"/>
      <w:spacing w:after="80" w:before="160"/>
      <w:outlineLvl w:val="2"/>
    </w:pPr>
    <w:rPr>
      <w:rFonts w:cstheme="majorBidi" w:eastAsiaTheme="majorEastAsia"/>
      <w:color w:val="2f5496" w:themeColor="accent1" w:themeShade="0000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 w:val="1"/>
    <w:unhideWhenUsed w:val="1"/>
    <w:qFormat w:val="1"/>
    <w:rsid w:val="00CD573F"/>
    <w:pPr>
      <w:keepNext w:val="1"/>
      <w:keepLines w:val="1"/>
      <w:spacing w:after="40" w:before="80"/>
      <w:outlineLvl w:val="3"/>
    </w:pPr>
    <w:rPr>
      <w:rFonts w:cstheme="majorBidi" w:eastAsiaTheme="majorEastAsia"/>
      <w:i w:val="1"/>
      <w:iCs w:val="1"/>
      <w:color w:val="2f5496" w:themeColor="accent1" w:themeShade="0000BF"/>
    </w:rPr>
  </w:style>
  <w:style w:type="paragraph" w:styleId="Ttulo5">
    <w:name w:val="heading 5"/>
    <w:basedOn w:val="Normal"/>
    <w:next w:val="Normal"/>
    <w:link w:val="Ttulo5Char"/>
    <w:uiPriority w:val="9"/>
    <w:semiHidden w:val="1"/>
    <w:unhideWhenUsed w:val="1"/>
    <w:qFormat w:val="1"/>
    <w:rsid w:val="00CD573F"/>
    <w:pPr>
      <w:keepNext w:val="1"/>
      <w:keepLines w:val="1"/>
      <w:spacing w:after="40" w:before="80"/>
      <w:outlineLvl w:val="4"/>
    </w:pPr>
    <w:rPr>
      <w:rFonts w:cstheme="majorBidi" w:eastAsiaTheme="majorEastAsia"/>
      <w:color w:val="2f5496" w:themeColor="accent1" w:themeShade="0000BF"/>
    </w:rPr>
  </w:style>
  <w:style w:type="paragraph" w:styleId="Ttulo6">
    <w:name w:val="heading 6"/>
    <w:basedOn w:val="Normal"/>
    <w:next w:val="Normal"/>
    <w:link w:val="Ttulo6Char"/>
    <w:uiPriority w:val="9"/>
    <w:semiHidden w:val="1"/>
    <w:unhideWhenUsed w:val="1"/>
    <w:qFormat w:val="1"/>
    <w:rsid w:val="00CD573F"/>
    <w:pPr>
      <w:keepNext w:val="1"/>
      <w:keepLines w:val="1"/>
      <w:spacing w:after="0" w:before="40"/>
      <w:outlineLvl w:val="5"/>
    </w:pPr>
    <w:rPr>
      <w:rFonts w:cstheme="majorBidi" w:eastAsiaTheme="majorEastAsia"/>
      <w:i w:val="1"/>
      <w:iCs w:val="1"/>
      <w:color w:val="595959" w:themeColor="text1" w:themeTint="0000A6"/>
    </w:rPr>
  </w:style>
  <w:style w:type="paragraph" w:styleId="Ttulo7">
    <w:name w:val="heading 7"/>
    <w:basedOn w:val="Normal"/>
    <w:next w:val="Normal"/>
    <w:link w:val="Ttulo7Char"/>
    <w:uiPriority w:val="9"/>
    <w:semiHidden w:val="1"/>
    <w:unhideWhenUsed w:val="1"/>
    <w:qFormat w:val="1"/>
    <w:rsid w:val="00CD573F"/>
    <w:pPr>
      <w:keepNext w:val="1"/>
      <w:keepLines w:val="1"/>
      <w:spacing w:after="0" w:before="40"/>
      <w:outlineLvl w:val="6"/>
    </w:pPr>
    <w:rPr>
      <w:rFonts w:cstheme="majorBidi" w:eastAsiaTheme="majorEastAsia"/>
      <w:color w:val="595959" w:themeColor="text1" w:themeTint="0000A6"/>
    </w:rPr>
  </w:style>
  <w:style w:type="paragraph" w:styleId="Ttulo8">
    <w:name w:val="heading 8"/>
    <w:basedOn w:val="Normal"/>
    <w:next w:val="Normal"/>
    <w:link w:val="Ttulo8Char"/>
    <w:uiPriority w:val="9"/>
    <w:semiHidden w:val="1"/>
    <w:unhideWhenUsed w:val="1"/>
    <w:qFormat w:val="1"/>
    <w:rsid w:val="00CD573F"/>
    <w:pPr>
      <w:keepNext w:val="1"/>
      <w:keepLines w:val="1"/>
      <w:spacing w:after="0"/>
      <w:outlineLvl w:val="7"/>
    </w:pPr>
    <w:rPr>
      <w:rFonts w:cstheme="majorBidi" w:eastAsiaTheme="majorEastAsia"/>
      <w:i w:val="1"/>
      <w:iCs w:val="1"/>
      <w:color w:val="272727" w:themeColor="text1" w:themeTint="0000D8"/>
    </w:rPr>
  </w:style>
  <w:style w:type="paragraph" w:styleId="Ttulo9">
    <w:name w:val="heading 9"/>
    <w:basedOn w:val="Normal"/>
    <w:next w:val="Normal"/>
    <w:link w:val="Ttulo9Char"/>
    <w:uiPriority w:val="9"/>
    <w:semiHidden w:val="1"/>
    <w:unhideWhenUsed w:val="1"/>
    <w:qFormat w:val="1"/>
    <w:rsid w:val="00CD573F"/>
    <w:pPr>
      <w:keepNext w:val="1"/>
      <w:keepLines w:val="1"/>
      <w:spacing w:after="0"/>
      <w:outlineLvl w:val="8"/>
    </w:pPr>
    <w:rPr>
      <w:rFonts w:cstheme="majorBidi" w:eastAsiaTheme="majorEastAsia"/>
      <w:color w:val="272727" w:themeColor="text1" w:themeTint="0000D8"/>
    </w:rPr>
  </w:style>
  <w:style w:type="character" w:styleId="Fontepargpadro" w:default="1">
    <w:name w:val="Default Paragraph Font"/>
    <w:uiPriority w:val="1"/>
    <w:semiHidden w:val="1"/>
    <w:unhideWhenUsed w:val="1"/>
  </w:style>
  <w:style w:type="table" w:styleId="Tabe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emlista" w:default="1">
    <w:name w:val="No List"/>
    <w:uiPriority w:val="99"/>
    <w:semiHidden w:val="1"/>
    <w:unhideWhenUsed w:val="1"/>
  </w:style>
  <w:style w:type="character" w:styleId="Ttulo1Char" w:customStyle="1">
    <w:name w:val="Título 1 Char"/>
    <w:basedOn w:val="Fontepargpadro"/>
    <w:link w:val="Ttulo1"/>
    <w:uiPriority w:val="9"/>
    <w:rsid w:val="00CD573F"/>
    <w:rPr>
      <w:rFonts w:asciiTheme="majorHAnsi" w:cstheme="majorBidi" w:eastAsiaTheme="majorEastAsia" w:hAnsiTheme="majorHAnsi"/>
      <w:color w:val="2f5496" w:themeColor="accent1" w:themeShade="0000BF"/>
      <w:sz w:val="40"/>
      <w:szCs w:val="40"/>
    </w:rPr>
  </w:style>
  <w:style w:type="character" w:styleId="Ttulo2Char" w:customStyle="1">
    <w:name w:val="Título 2 Char"/>
    <w:basedOn w:val="Fontepargpadro"/>
    <w:link w:val="Ttulo2"/>
    <w:uiPriority w:val="9"/>
    <w:semiHidden w:val="1"/>
    <w:rsid w:val="00CD573F"/>
    <w:rPr>
      <w:rFonts w:asciiTheme="majorHAnsi" w:cstheme="majorBidi" w:eastAsiaTheme="majorEastAsia" w:hAnsiTheme="majorHAnsi"/>
      <w:color w:val="2f5496" w:themeColor="accent1" w:themeShade="0000BF"/>
      <w:sz w:val="32"/>
      <w:szCs w:val="32"/>
    </w:rPr>
  </w:style>
  <w:style w:type="character" w:styleId="Ttulo3Char" w:customStyle="1">
    <w:name w:val="Título 3 Char"/>
    <w:basedOn w:val="Fontepargpadro"/>
    <w:link w:val="Ttulo3"/>
    <w:uiPriority w:val="9"/>
    <w:semiHidden w:val="1"/>
    <w:rsid w:val="00CD573F"/>
    <w:rPr>
      <w:rFonts w:cstheme="majorBidi" w:eastAsiaTheme="majorEastAsia"/>
      <w:color w:val="2f5496" w:themeColor="accent1" w:themeShade="0000BF"/>
      <w:sz w:val="28"/>
      <w:szCs w:val="28"/>
    </w:rPr>
  </w:style>
  <w:style w:type="character" w:styleId="Ttulo4Char" w:customStyle="1">
    <w:name w:val="Título 4 Char"/>
    <w:basedOn w:val="Fontepargpadro"/>
    <w:link w:val="Ttulo4"/>
    <w:uiPriority w:val="9"/>
    <w:semiHidden w:val="1"/>
    <w:rsid w:val="00CD573F"/>
    <w:rPr>
      <w:rFonts w:cstheme="majorBidi" w:eastAsiaTheme="majorEastAsia"/>
      <w:i w:val="1"/>
      <w:iCs w:val="1"/>
      <w:color w:val="2f5496" w:themeColor="accent1" w:themeShade="0000BF"/>
    </w:rPr>
  </w:style>
  <w:style w:type="character" w:styleId="Ttulo5Char" w:customStyle="1">
    <w:name w:val="Título 5 Char"/>
    <w:basedOn w:val="Fontepargpadro"/>
    <w:link w:val="Ttulo5"/>
    <w:uiPriority w:val="9"/>
    <w:semiHidden w:val="1"/>
    <w:rsid w:val="00CD573F"/>
    <w:rPr>
      <w:rFonts w:cstheme="majorBidi" w:eastAsiaTheme="majorEastAsia"/>
      <w:color w:val="2f5496" w:themeColor="accent1" w:themeShade="0000BF"/>
    </w:rPr>
  </w:style>
  <w:style w:type="character" w:styleId="Ttulo6Char" w:customStyle="1">
    <w:name w:val="Título 6 Char"/>
    <w:basedOn w:val="Fontepargpadro"/>
    <w:link w:val="Ttulo6"/>
    <w:uiPriority w:val="9"/>
    <w:semiHidden w:val="1"/>
    <w:rsid w:val="00CD573F"/>
    <w:rPr>
      <w:rFonts w:cstheme="majorBidi" w:eastAsiaTheme="majorEastAsia"/>
      <w:i w:val="1"/>
      <w:iCs w:val="1"/>
      <w:color w:val="595959" w:themeColor="text1" w:themeTint="0000A6"/>
    </w:rPr>
  </w:style>
  <w:style w:type="character" w:styleId="Ttulo7Char" w:customStyle="1">
    <w:name w:val="Título 7 Char"/>
    <w:basedOn w:val="Fontepargpadro"/>
    <w:link w:val="Ttulo7"/>
    <w:uiPriority w:val="9"/>
    <w:semiHidden w:val="1"/>
    <w:rsid w:val="00CD573F"/>
    <w:rPr>
      <w:rFonts w:cstheme="majorBidi" w:eastAsiaTheme="majorEastAsia"/>
      <w:color w:val="595959" w:themeColor="text1" w:themeTint="0000A6"/>
    </w:rPr>
  </w:style>
  <w:style w:type="character" w:styleId="Ttulo8Char" w:customStyle="1">
    <w:name w:val="Título 8 Char"/>
    <w:basedOn w:val="Fontepargpadro"/>
    <w:link w:val="Ttulo8"/>
    <w:uiPriority w:val="9"/>
    <w:semiHidden w:val="1"/>
    <w:rsid w:val="00CD573F"/>
    <w:rPr>
      <w:rFonts w:cstheme="majorBidi" w:eastAsiaTheme="majorEastAsia"/>
      <w:i w:val="1"/>
      <w:iCs w:val="1"/>
      <w:color w:val="272727" w:themeColor="text1" w:themeTint="0000D8"/>
    </w:rPr>
  </w:style>
  <w:style w:type="character" w:styleId="Ttulo9Char" w:customStyle="1">
    <w:name w:val="Título 9 Char"/>
    <w:basedOn w:val="Fontepargpadro"/>
    <w:link w:val="Ttulo9"/>
    <w:uiPriority w:val="9"/>
    <w:semiHidden w:val="1"/>
    <w:rsid w:val="00CD573F"/>
    <w:rPr>
      <w:rFonts w:cstheme="majorBidi" w:eastAsiaTheme="majorEastAsia"/>
      <w:color w:val="272727" w:themeColor="text1" w:themeTint="0000D8"/>
    </w:rPr>
  </w:style>
  <w:style w:type="paragraph" w:styleId="Ttulo">
    <w:name w:val="Title"/>
    <w:basedOn w:val="Normal"/>
    <w:next w:val="Normal"/>
    <w:link w:val="TtuloChar"/>
    <w:uiPriority w:val="10"/>
    <w:qFormat w:val="1"/>
    <w:rsid w:val="00CD573F"/>
    <w:pPr>
      <w:spacing w:after="80" w:line="240" w:lineRule="auto"/>
      <w:contextualSpacing w:val="1"/>
    </w:pPr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character" w:styleId="TtuloChar" w:customStyle="1">
    <w:name w:val="Título Char"/>
    <w:basedOn w:val="Fontepargpadro"/>
    <w:link w:val="Ttulo"/>
    <w:uiPriority w:val="10"/>
    <w:rsid w:val="00CD573F"/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 w:val="1"/>
    <w:rsid w:val="00CD573F"/>
    <w:pPr>
      <w:numPr>
        <w:ilvl w:val="1"/>
      </w:numPr>
    </w:pPr>
    <w:rPr>
      <w:rFonts w:cstheme="majorBidi" w:eastAsiaTheme="majorEastAsia"/>
      <w:color w:val="595959" w:themeColor="text1" w:themeTint="0000A6"/>
      <w:spacing w:val="15"/>
      <w:sz w:val="28"/>
      <w:szCs w:val="28"/>
    </w:rPr>
  </w:style>
  <w:style w:type="character" w:styleId="SubttuloChar" w:customStyle="1">
    <w:name w:val="Subtítulo Char"/>
    <w:basedOn w:val="Fontepargpadro"/>
    <w:link w:val="Subttulo"/>
    <w:uiPriority w:val="11"/>
    <w:rsid w:val="00CD573F"/>
    <w:rPr>
      <w:rFonts w:cstheme="majorBidi" w:eastAsiaTheme="majorEastAsia"/>
      <w:color w:val="595959" w:themeColor="text1" w:themeTint="0000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 w:val="1"/>
    <w:rsid w:val="00CD573F"/>
    <w:pPr>
      <w:spacing w:before="160"/>
      <w:jc w:val="center"/>
    </w:pPr>
    <w:rPr>
      <w:i w:val="1"/>
      <w:iCs w:val="1"/>
      <w:color w:val="404040" w:themeColor="text1" w:themeTint="0000BF"/>
    </w:rPr>
  </w:style>
  <w:style w:type="character" w:styleId="CitaoChar" w:customStyle="1">
    <w:name w:val="Citação Char"/>
    <w:basedOn w:val="Fontepargpadro"/>
    <w:link w:val="Citao"/>
    <w:uiPriority w:val="29"/>
    <w:rsid w:val="00CD573F"/>
    <w:rPr>
      <w:i w:val="1"/>
      <w:iCs w:val="1"/>
      <w:color w:val="404040" w:themeColor="text1" w:themeTint="0000BF"/>
    </w:rPr>
  </w:style>
  <w:style w:type="paragraph" w:styleId="PargrafodaLista">
    <w:name w:val="List Paragraph"/>
    <w:basedOn w:val="Normal"/>
    <w:uiPriority w:val="34"/>
    <w:qFormat w:val="1"/>
    <w:rsid w:val="00CD573F"/>
    <w:pPr>
      <w:ind w:left="720"/>
      <w:contextualSpacing w:val="1"/>
    </w:pPr>
  </w:style>
  <w:style w:type="character" w:styleId="nfaseIntensa">
    <w:name w:val="Intense Emphasis"/>
    <w:basedOn w:val="Fontepargpadro"/>
    <w:uiPriority w:val="21"/>
    <w:qFormat w:val="1"/>
    <w:rsid w:val="00CD573F"/>
    <w:rPr>
      <w:i w:val="1"/>
      <w:iCs w:val="1"/>
      <w:color w:val="2f5496" w:themeColor="accent1" w:themeShade="0000BF"/>
    </w:rPr>
  </w:style>
  <w:style w:type="paragraph" w:styleId="CitaoIntensa">
    <w:name w:val="Intense Quote"/>
    <w:basedOn w:val="Normal"/>
    <w:next w:val="Normal"/>
    <w:link w:val="CitaoIntensaChar"/>
    <w:uiPriority w:val="30"/>
    <w:qFormat w:val="1"/>
    <w:rsid w:val="00CD573F"/>
    <w:pPr>
      <w:pBdr>
        <w:top w:color="2f5496" w:space="10" w:sz="4" w:themeColor="accent1" w:themeShade="0000BF" w:val="single"/>
        <w:bottom w:color="2f5496" w:space="10" w:sz="4" w:themeColor="accent1" w:themeShade="0000BF" w:val="single"/>
      </w:pBdr>
      <w:spacing w:after="360" w:before="360"/>
      <w:ind w:left="864" w:right="864"/>
      <w:jc w:val="center"/>
    </w:pPr>
    <w:rPr>
      <w:i w:val="1"/>
      <w:iCs w:val="1"/>
      <w:color w:val="2f5496" w:themeColor="accent1" w:themeShade="0000BF"/>
    </w:rPr>
  </w:style>
  <w:style w:type="character" w:styleId="CitaoIntensaChar" w:customStyle="1">
    <w:name w:val="Citação Intensa Char"/>
    <w:basedOn w:val="Fontepargpadro"/>
    <w:link w:val="CitaoIntensa"/>
    <w:uiPriority w:val="30"/>
    <w:rsid w:val="00CD573F"/>
    <w:rPr>
      <w:i w:val="1"/>
      <w:iCs w:val="1"/>
      <w:color w:val="2f5496" w:themeColor="accent1" w:themeShade="0000BF"/>
    </w:rPr>
  </w:style>
  <w:style w:type="character" w:styleId="RefernciaIntensa">
    <w:name w:val="Intense Reference"/>
    <w:basedOn w:val="Fontepargpadro"/>
    <w:uiPriority w:val="32"/>
    <w:qFormat w:val="1"/>
    <w:rsid w:val="00CD573F"/>
    <w:rPr>
      <w:b w:val="1"/>
      <w:bCs w:val="1"/>
      <w:smallCaps w:val="1"/>
      <w:color w:val="2f5496" w:themeColor="accent1" w:themeShade="0000BF"/>
      <w:spacing w:val="5"/>
    </w:rPr>
  </w:style>
  <w:style w:type="table" w:styleId="Tabelacomgrade">
    <w:name w:val="Table Grid"/>
    <w:basedOn w:val="Tabelanormal"/>
    <w:uiPriority w:val="39"/>
    <w:rsid w:val="00CD573F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character" w:styleId="Hyperlink">
    <w:name w:val="Hyperlink"/>
    <w:basedOn w:val="Fontepargpadro"/>
    <w:uiPriority w:val="99"/>
    <w:unhideWhenUsed w:val="1"/>
    <w:rsid w:val="00FC2716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 w:val="1"/>
    <w:unhideWhenUsed w:val="1"/>
    <w:rsid w:val="00FC2716"/>
    <w:rPr>
      <w:color w:val="605e5c"/>
      <w:shd w:color="auto" w:fill="e1dfdd" w:val="clear"/>
    </w:rPr>
  </w:style>
  <w:style w:type="paragraph" w:styleId="Subtitle">
    <w:name w:val="Subtitle"/>
    <w:basedOn w:val="Normal"/>
    <w:next w:val="Normal"/>
    <w:pPr/>
    <w:rPr>
      <w:color w:val="595959"/>
      <w:sz w:val="28"/>
      <w:szCs w:val="2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hyperlink" Target="https://metadados.snirh.gov.br/geonetwork/srv/por/catalog.search#/metadata/1b19cbb4-10fa-4be4-96db-b3dcd8975db0" TargetMode="External"/><Relationship Id="rId10" Type="http://schemas.openxmlformats.org/officeDocument/2006/relationships/image" Target="media/image2.png"/><Relationship Id="rId13" Type="http://schemas.openxmlformats.org/officeDocument/2006/relationships/hyperlink" Target="https://www.planalto.gov.br/ccivil_03/LEIS/L9433.htm" TargetMode="External"/><Relationship Id="rId12" Type="http://schemas.openxmlformats.org/officeDocument/2006/relationships/hyperlink" Target="https://www.ibge.gov.br/estatisticas/economicas/agricultura-e-pecuaria/9117-producao-agricola-municipal-culturas-temporarias-e-permanentes.html?=&amp;t=resultados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dgO08lB217+wfdNfAYh2T+OGKFg==">CgMxLjA4AHIhMWI3YldUYXRyNzFQRzh4N3VVTWx4U1JLQWJ2b0xtd1du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2024-08-13T17:29:00Z</dcterms:created>
  <dc:creator>Livia Brumatti</dc:creator>
</cp:coreProperties>
</file>