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60A5A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Instituto Mato-grossense do Feijão, Pulses, Colheitas Especiais e Irrigação (IMAFIR-MT)</w:t>
      </w:r>
    </w:p>
    <w:p w14:paraId="1347F3E4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Universidade Federal de Viçosa (UFV)</w:t>
      </w:r>
    </w:p>
    <w:p w14:paraId="4A643976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Universidade Federal do Rio de Janeiro (UFRJ)</w:t>
      </w:r>
    </w:p>
    <w:p w14:paraId="01FD3039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692FB1B4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65C12CAB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3EDB8AA4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07628C59" w14:textId="77777777" w:rsidR="00FA5E4E" w:rsidRPr="00FA5E4E" w:rsidRDefault="00FA5E4E" w:rsidP="00FA5E4E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5E4E">
        <w:rPr>
          <w:rFonts w:ascii="Tahoma" w:hAnsi="Tahoma" w:cs="Tahoma"/>
          <w:b/>
          <w:bCs/>
          <w:sz w:val="28"/>
          <w:szCs w:val="28"/>
        </w:rPr>
        <w:t>Levantamento Integrado de Informações dos Recursos Hídricos Superficiais e Subterrâneos para os Polos de Agricultura Irrigada do Centro Sul e do Alto Teles Pires no Estado de Mato Grosso</w:t>
      </w:r>
    </w:p>
    <w:p w14:paraId="6AAEF2D8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54A7315E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2D1DC861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6A9CF3EC" w14:textId="77777777" w:rsidR="00FA5E4E" w:rsidRPr="00FA5E4E" w:rsidRDefault="00FA5E4E" w:rsidP="00FA5E4E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5E4E">
        <w:rPr>
          <w:rFonts w:ascii="Tahoma" w:hAnsi="Tahoma" w:cs="Tahoma"/>
          <w:b/>
          <w:bCs/>
          <w:sz w:val="28"/>
          <w:szCs w:val="28"/>
        </w:rPr>
        <w:t>RELATÓRIO PARCIAL – BACIA DO ALTO TELES PIRES</w:t>
      </w:r>
    </w:p>
    <w:p w14:paraId="224697E7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Meta 5 – Estudo de Disponibilidade Hídrica Subterrânea</w:t>
      </w:r>
    </w:p>
    <w:p w14:paraId="093E335E" w14:textId="6CC47F4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 xml:space="preserve">Atividade 5.3 – Elaboração do Modelo Hidrogeológico </w:t>
      </w:r>
      <w:r w:rsidRPr="004C2ABC">
        <w:rPr>
          <w:rFonts w:ascii="Tahoma" w:hAnsi="Tahoma" w:cs="Tahoma"/>
          <w:sz w:val="28"/>
          <w:szCs w:val="28"/>
        </w:rPr>
        <w:t>Conceitual</w:t>
      </w:r>
    </w:p>
    <w:p w14:paraId="32454456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Período de 01 de março a 31 de maio de 2025</w:t>
      </w:r>
    </w:p>
    <w:p w14:paraId="265B7102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1D0B246F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4F816D79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335188CF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59FA3C79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6FEECE89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37766325" w14:textId="77777777" w:rsidR="00FA5E4E" w:rsidRPr="00FA5E4E" w:rsidRDefault="00FA5E4E" w:rsidP="00FA5E4E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5E4E">
        <w:rPr>
          <w:rFonts w:ascii="Tahoma" w:hAnsi="Tahoma" w:cs="Tahoma"/>
          <w:b/>
          <w:bCs/>
          <w:sz w:val="28"/>
          <w:szCs w:val="28"/>
        </w:rPr>
        <w:t>Maio de 2025</w:t>
      </w:r>
    </w:p>
    <w:p w14:paraId="53C64234" w14:textId="77777777" w:rsidR="00FA5E4E" w:rsidRPr="004C2ABC" w:rsidRDefault="00FA5E4E" w:rsidP="00FA5E4E">
      <w:pPr>
        <w:rPr>
          <w:rFonts w:ascii="Tahoma" w:hAnsi="Tahoma" w:cs="Tahoma"/>
          <w:b/>
          <w:bCs/>
        </w:rPr>
      </w:pPr>
      <w:r w:rsidRPr="00FA5E4E">
        <w:rPr>
          <w:rFonts w:ascii="Tahoma" w:hAnsi="Tahoma" w:cs="Tahoma"/>
          <w:b/>
          <w:bCs/>
        </w:rPr>
        <w:br w:type="page"/>
      </w:r>
    </w:p>
    <w:sdt>
      <w:sdtPr>
        <w:rPr>
          <w:rFonts w:ascii="Tahoma" w:eastAsiaTheme="minorHAnsi" w:hAnsi="Tahoma" w:cs="Tahoma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id w:val="160854523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4"/>
          <w:szCs w:val="24"/>
        </w:rPr>
      </w:sdtEndPr>
      <w:sdtContent>
        <w:p w14:paraId="09E09463" w14:textId="77777777" w:rsidR="004C2ABC" w:rsidRPr="004C2ABC" w:rsidRDefault="004C2ABC" w:rsidP="004C2ABC">
          <w:pPr>
            <w:pStyle w:val="CabealhodoSumrio"/>
            <w:jc w:val="center"/>
            <w:rPr>
              <w:rFonts w:ascii="Tahoma" w:hAnsi="Tahoma" w:cs="Tahoma"/>
              <w:b/>
              <w:bCs/>
              <w:color w:val="auto"/>
            </w:rPr>
          </w:pPr>
          <w:r w:rsidRPr="004C2ABC">
            <w:rPr>
              <w:rFonts w:ascii="Tahoma" w:hAnsi="Tahoma" w:cs="Tahoma"/>
              <w:b/>
              <w:bCs/>
              <w:color w:val="auto"/>
            </w:rPr>
            <w:t>Sumário</w:t>
          </w:r>
        </w:p>
        <w:p w14:paraId="782FA9D3" w14:textId="7EEC94D8" w:rsidR="002B1229" w:rsidRPr="002B1229" w:rsidRDefault="004C2ABC">
          <w:pPr>
            <w:pStyle w:val="Sumrio1"/>
            <w:tabs>
              <w:tab w:val="left" w:pos="720"/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r w:rsidRPr="004C2ABC">
            <w:fldChar w:fldCharType="begin"/>
          </w:r>
          <w:r w:rsidRPr="004C2ABC">
            <w:instrText xml:space="preserve"> TOC \o "1-3" \h \z \u </w:instrText>
          </w:r>
          <w:r w:rsidRPr="004C2ABC">
            <w:fldChar w:fldCharType="separate"/>
          </w:r>
          <w:hyperlink w:anchor="_Toc199334600" w:history="1">
            <w:r w:rsidR="002B1229"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1.0</w:t>
            </w:r>
            <w:r w:rsidR="002B1229" w:rsidRPr="002B1229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="002B1229"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INTRODUÇÃO</w:t>
            </w:r>
            <w:r w:rsidR="002B1229" w:rsidRPr="002B1229">
              <w:rPr>
                <w:b/>
                <w:bCs/>
                <w:noProof/>
                <w:webHidden/>
              </w:rPr>
              <w:tab/>
            </w:r>
            <w:r w:rsidR="002B1229" w:rsidRPr="002B1229">
              <w:rPr>
                <w:b/>
                <w:bCs/>
                <w:noProof/>
                <w:webHidden/>
              </w:rPr>
              <w:fldChar w:fldCharType="begin"/>
            </w:r>
            <w:r w:rsidR="002B1229" w:rsidRPr="002B1229">
              <w:rPr>
                <w:b/>
                <w:bCs/>
                <w:noProof/>
                <w:webHidden/>
              </w:rPr>
              <w:instrText xml:space="preserve"> PAGEREF _Toc199334600 \h </w:instrText>
            </w:r>
            <w:r w:rsidR="002B1229" w:rsidRPr="002B1229">
              <w:rPr>
                <w:b/>
                <w:bCs/>
                <w:noProof/>
                <w:webHidden/>
              </w:rPr>
            </w:r>
            <w:r w:rsidR="002B1229" w:rsidRPr="002B1229">
              <w:rPr>
                <w:b/>
                <w:bCs/>
                <w:noProof/>
                <w:webHidden/>
              </w:rPr>
              <w:fldChar w:fldCharType="separate"/>
            </w:r>
            <w:r w:rsidR="002B1229" w:rsidRPr="002B1229">
              <w:rPr>
                <w:b/>
                <w:bCs/>
                <w:noProof/>
                <w:webHidden/>
              </w:rPr>
              <w:t>3</w:t>
            </w:r>
            <w:r w:rsidR="002B1229" w:rsidRPr="002B1229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793020E" w14:textId="59FDE9E4" w:rsidR="002B1229" w:rsidRPr="002B1229" w:rsidRDefault="002B1229">
          <w:pPr>
            <w:pStyle w:val="Sumrio1"/>
            <w:tabs>
              <w:tab w:val="left" w:pos="720"/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hyperlink w:anchor="_Toc199334601" w:history="1"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2.0</w:t>
            </w:r>
            <w:r w:rsidRPr="002B1229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UNIDADES HIDROGEOLÓGICAS</w:t>
            </w:r>
            <w:r w:rsidRPr="002B1229">
              <w:rPr>
                <w:b/>
                <w:bCs/>
                <w:noProof/>
                <w:webHidden/>
              </w:rPr>
              <w:tab/>
            </w:r>
            <w:r w:rsidRPr="002B1229">
              <w:rPr>
                <w:b/>
                <w:bCs/>
                <w:noProof/>
                <w:webHidden/>
              </w:rPr>
              <w:fldChar w:fldCharType="begin"/>
            </w:r>
            <w:r w:rsidRPr="002B1229">
              <w:rPr>
                <w:b/>
                <w:bCs/>
                <w:noProof/>
                <w:webHidden/>
              </w:rPr>
              <w:instrText xml:space="preserve"> PAGEREF _Toc199334601 \h </w:instrText>
            </w:r>
            <w:r w:rsidRPr="002B1229">
              <w:rPr>
                <w:b/>
                <w:bCs/>
                <w:noProof/>
                <w:webHidden/>
              </w:rPr>
            </w:r>
            <w:r w:rsidRPr="002B1229">
              <w:rPr>
                <w:b/>
                <w:bCs/>
                <w:noProof/>
                <w:webHidden/>
              </w:rPr>
              <w:fldChar w:fldCharType="separate"/>
            </w:r>
            <w:r w:rsidRPr="002B1229">
              <w:rPr>
                <w:b/>
                <w:bCs/>
                <w:noProof/>
                <w:webHidden/>
              </w:rPr>
              <w:t>3</w:t>
            </w:r>
            <w:r w:rsidRPr="002B1229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DC2BD69" w14:textId="5D79C6BB" w:rsidR="002B1229" w:rsidRPr="002B1229" w:rsidRDefault="002B1229">
          <w:pPr>
            <w:pStyle w:val="Sumrio1"/>
            <w:tabs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hyperlink w:anchor="_Toc199334602" w:history="1"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RENATO E GLAUCO, COMPLETAR COM DADOS DO RELATÓRIO QUE ENVIEI PARA VCS VIA EMAIL.</w:t>
            </w:r>
            <w:r w:rsidRPr="002B1229">
              <w:rPr>
                <w:b/>
                <w:bCs/>
                <w:noProof/>
                <w:webHidden/>
              </w:rPr>
              <w:tab/>
            </w:r>
            <w:r w:rsidRPr="002B1229">
              <w:rPr>
                <w:b/>
                <w:bCs/>
                <w:noProof/>
                <w:webHidden/>
              </w:rPr>
              <w:fldChar w:fldCharType="begin"/>
            </w:r>
            <w:r w:rsidRPr="002B1229">
              <w:rPr>
                <w:b/>
                <w:bCs/>
                <w:noProof/>
                <w:webHidden/>
              </w:rPr>
              <w:instrText xml:space="preserve"> PAGEREF _Toc199334602 \h </w:instrText>
            </w:r>
            <w:r w:rsidRPr="002B1229">
              <w:rPr>
                <w:b/>
                <w:bCs/>
                <w:noProof/>
                <w:webHidden/>
              </w:rPr>
            </w:r>
            <w:r w:rsidRPr="002B1229">
              <w:rPr>
                <w:b/>
                <w:bCs/>
                <w:noProof/>
                <w:webHidden/>
              </w:rPr>
              <w:fldChar w:fldCharType="separate"/>
            </w:r>
            <w:r w:rsidRPr="002B1229">
              <w:rPr>
                <w:b/>
                <w:bCs/>
                <w:noProof/>
                <w:webHidden/>
              </w:rPr>
              <w:t>3</w:t>
            </w:r>
            <w:r w:rsidRPr="002B1229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2E93551" w14:textId="6A9EC905" w:rsidR="002B1229" w:rsidRPr="002B1229" w:rsidRDefault="002B1229">
          <w:pPr>
            <w:pStyle w:val="Sumrio1"/>
            <w:tabs>
              <w:tab w:val="left" w:pos="720"/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hyperlink w:anchor="_Toc199334603" w:history="1"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3.0</w:t>
            </w:r>
            <w:r w:rsidRPr="002B1229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METODOLOGIA DE MODELAGEM GEOLÓGICA</w:t>
            </w:r>
            <w:r w:rsidRPr="002B1229">
              <w:rPr>
                <w:b/>
                <w:bCs/>
                <w:noProof/>
                <w:webHidden/>
              </w:rPr>
              <w:tab/>
            </w:r>
            <w:r w:rsidRPr="002B1229">
              <w:rPr>
                <w:b/>
                <w:bCs/>
                <w:noProof/>
                <w:webHidden/>
              </w:rPr>
              <w:fldChar w:fldCharType="begin"/>
            </w:r>
            <w:r w:rsidRPr="002B1229">
              <w:rPr>
                <w:b/>
                <w:bCs/>
                <w:noProof/>
                <w:webHidden/>
              </w:rPr>
              <w:instrText xml:space="preserve"> PAGEREF _Toc199334603 \h </w:instrText>
            </w:r>
            <w:r w:rsidRPr="002B1229">
              <w:rPr>
                <w:b/>
                <w:bCs/>
                <w:noProof/>
                <w:webHidden/>
              </w:rPr>
            </w:r>
            <w:r w:rsidRPr="002B1229">
              <w:rPr>
                <w:b/>
                <w:bCs/>
                <w:noProof/>
                <w:webHidden/>
              </w:rPr>
              <w:fldChar w:fldCharType="separate"/>
            </w:r>
            <w:r w:rsidRPr="002B1229">
              <w:rPr>
                <w:b/>
                <w:bCs/>
                <w:noProof/>
                <w:webHidden/>
              </w:rPr>
              <w:t>3</w:t>
            </w:r>
            <w:r w:rsidRPr="002B1229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7AF4BE6" w14:textId="201B462D" w:rsidR="002B1229" w:rsidRPr="002B1229" w:rsidRDefault="002B1229">
          <w:pPr>
            <w:pStyle w:val="Sumrio2"/>
            <w:tabs>
              <w:tab w:val="left" w:pos="960"/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hyperlink w:anchor="_Toc199334604" w:history="1"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3.1</w:t>
            </w:r>
            <w:r w:rsidRPr="002B1229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Pré-Processamento</w:t>
            </w:r>
            <w:r w:rsidRPr="002B1229">
              <w:rPr>
                <w:b/>
                <w:bCs/>
                <w:noProof/>
                <w:webHidden/>
              </w:rPr>
              <w:tab/>
            </w:r>
            <w:r w:rsidRPr="002B1229">
              <w:rPr>
                <w:b/>
                <w:bCs/>
                <w:noProof/>
                <w:webHidden/>
              </w:rPr>
              <w:fldChar w:fldCharType="begin"/>
            </w:r>
            <w:r w:rsidRPr="002B1229">
              <w:rPr>
                <w:b/>
                <w:bCs/>
                <w:noProof/>
                <w:webHidden/>
              </w:rPr>
              <w:instrText xml:space="preserve"> PAGEREF _Toc199334604 \h </w:instrText>
            </w:r>
            <w:r w:rsidRPr="002B1229">
              <w:rPr>
                <w:b/>
                <w:bCs/>
                <w:noProof/>
                <w:webHidden/>
              </w:rPr>
            </w:r>
            <w:r w:rsidRPr="002B1229">
              <w:rPr>
                <w:b/>
                <w:bCs/>
                <w:noProof/>
                <w:webHidden/>
              </w:rPr>
              <w:fldChar w:fldCharType="separate"/>
            </w:r>
            <w:r w:rsidRPr="002B1229">
              <w:rPr>
                <w:b/>
                <w:bCs/>
                <w:noProof/>
                <w:webHidden/>
              </w:rPr>
              <w:t>4</w:t>
            </w:r>
            <w:r w:rsidRPr="002B1229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AFFB0EA" w14:textId="468B9076" w:rsidR="002B1229" w:rsidRPr="002B1229" w:rsidRDefault="002B1229">
          <w:pPr>
            <w:pStyle w:val="Sumrio3"/>
            <w:tabs>
              <w:tab w:val="left" w:pos="1440"/>
              <w:tab w:val="right" w:leader="dot" w:pos="8494"/>
            </w:tabs>
            <w:rPr>
              <w:rFonts w:eastAsiaTheme="minorEastAsia"/>
              <w:b/>
              <w:bCs/>
              <w:noProof/>
              <w:lang w:eastAsia="pt-BR"/>
            </w:rPr>
          </w:pPr>
          <w:hyperlink w:anchor="_Toc199334605" w:history="1"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3.1.1</w:t>
            </w:r>
            <w:r w:rsidRPr="002B1229">
              <w:rPr>
                <w:rFonts w:eastAsiaTheme="minorEastAsia"/>
                <w:b/>
                <w:bCs/>
                <w:noProof/>
                <w:lang w:eastAsia="pt-BR"/>
              </w:rPr>
              <w:tab/>
            </w:r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Informações e Organização da Base de Dados para Modelagem</w:t>
            </w:r>
            <w:r w:rsidRPr="002B1229">
              <w:rPr>
                <w:b/>
                <w:bCs/>
                <w:noProof/>
                <w:webHidden/>
              </w:rPr>
              <w:tab/>
            </w:r>
            <w:r w:rsidRPr="002B1229">
              <w:rPr>
                <w:b/>
                <w:bCs/>
                <w:noProof/>
                <w:webHidden/>
              </w:rPr>
              <w:fldChar w:fldCharType="begin"/>
            </w:r>
            <w:r w:rsidRPr="002B1229">
              <w:rPr>
                <w:b/>
                <w:bCs/>
                <w:noProof/>
                <w:webHidden/>
              </w:rPr>
              <w:instrText xml:space="preserve"> PAGEREF _Toc199334605 \h </w:instrText>
            </w:r>
            <w:r w:rsidRPr="002B1229">
              <w:rPr>
                <w:b/>
                <w:bCs/>
                <w:noProof/>
                <w:webHidden/>
              </w:rPr>
            </w:r>
            <w:r w:rsidRPr="002B1229">
              <w:rPr>
                <w:b/>
                <w:bCs/>
                <w:noProof/>
                <w:webHidden/>
              </w:rPr>
              <w:fldChar w:fldCharType="separate"/>
            </w:r>
            <w:r w:rsidRPr="002B1229">
              <w:rPr>
                <w:b/>
                <w:bCs/>
                <w:noProof/>
                <w:webHidden/>
              </w:rPr>
              <w:t>4</w:t>
            </w:r>
            <w:r w:rsidRPr="002B1229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E32CC4F" w14:textId="23B95E8C" w:rsidR="002B1229" w:rsidRPr="002B1229" w:rsidRDefault="002B1229">
          <w:pPr>
            <w:pStyle w:val="Sumrio2"/>
            <w:tabs>
              <w:tab w:val="left" w:pos="960"/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hyperlink w:anchor="_Toc199334606" w:history="1"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3.2</w:t>
            </w:r>
            <w:r w:rsidRPr="002B1229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Pr="002B1229">
              <w:rPr>
                <w:rStyle w:val="Hyperlink"/>
                <w:rFonts w:ascii="Tahoma" w:hAnsi="Tahoma" w:cs="Tahoma"/>
                <w:b/>
                <w:bCs/>
                <w:noProof/>
              </w:rPr>
              <w:t>Desenvolvimento do Modelo</w:t>
            </w:r>
            <w:r w:rsidRPr="002B1229">
              <w:rPr>
                <w:b/>
                <w:bCs/>
                <w:noProof/>
                <w:webHidden/>
              </w:rPr>
              <w:tab/>
            </w:r>
            <w:r w:rsidRPr="002B1229">
              <w:rPr>
                <w:b/>
                <w:bCs/>
                <w:noProof/>
                <w:webHidden/>
              </w:rPr>
              <w:fldChar w:fldCharType="begin"/>
            </w:r>
            <w:r w:rsidRPr="002B1229">
              <w:rPr>
                <w:b/>
                <w:bCs/>
                <w:noProof/>
                <w:webHidden/>
              </w:rPr>
              <w:instrText xml:space="preserve"> PAGEREF _Toc199334606 \h </w:instrText>
            </w:r>
            <w:r w:rsidRPr="002B1229">
              <w:rPr>
                <w:b/>
                <w:bCs/>
                <w:noProof/>
                <w:webHidden/>
              </w:rPr>
            </w:r>
            <w:r w:rsidRPr="002B1229">
              <w:rPr>
                <w:b/>
                <w:bCs/>
                <w:noProof/>
                <w:webHidden/>
              </w:rPr>
              <w:fldChar w:fldCharType="separate"/>
            </w:r>
            <w:r w:rsidRPr="002B1229">
              <w:rPr>
                <w:b/>
                <w:bCs/>
                <w:noProof/>
                <w:webHidden/>
              </w:rPr>
              <w:t>4</w:t>
            </w:r>
            <w:r w:rsidRPr="002B1229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DD4E197" w14:textId="4898199C" w:rsidR="002B1229" w:rsidRDefault="002B1229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199334607" w:history="1">
            <w:r w:rsidRPr="00DA64F6">
              <w:rPr>
                <w:rStyle w:val="Hyperlink"/>
                <w:rFonts w:ascii="Tahoma" w:hAnsi="Tahoma" w:cs="Tahoma"/>
                <w:b/>
                <w:bCs/>
                <w:noProof/>
              </w:rPr>
              <w:t>REFERÊNCIAS BIBLIOGRÁFICAS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F9CA1" w14:textId="4ADF5777" w:rsidR="004C2ABC" w:rsidRPr="004C2ABC" w:rsidRDefault="004C2ABC" w:rsidP="004C2ABC">
          <w:r w:rsidRPr="004C2ABC">
            <w:rPr>
              <w:b/>
              <w:bCs/>
            </w:rPr>
            <w:fldChar w:fldCharType="end"/>
          </w:r>
        </w:p>
      </w:sdtContent>
    </w:sdt>
    <w:p w14:paraId="00E8BD42" w14:textId="77777777" w:rsidR="004C2ABC" w:rsidRPr="004C2ABC" w:rsidRDefault="004C2ABC" w:rsidP="004C2ABC">
      <w:pPr>
        <w:rPr>
          <w:rFonts w:ascii="Tahoma" w:hAnsi="Tahoma" w:cs="Tahoma"/>
        </w:rPr>
      </w:pPr>
    </w:p>
    <w:p w14:paraId="7BB14EAF" w14:textId="77777777" w:rsidR="004C2ABC" w:rsidRPr="004C2ABC" w:rsidRDefault="004C2ABC" w:rsidP="004C2ABC">
      <w:pPr>
        <w:rPr>
          <w:rFonts w:ascii="Tahoma" w:hAnsi="Tahoma" w:cs="Tahoma"/>
          <w:b/>
          <w:bCs/>
        </w:rPr>
      </w:pPr>
      <w:r w:rsidRPr="004C2ABC">
        <w:rPr>
          <w:rFonts w:ascii="Tahoma" w:hAnsi="Tahoma" w:cs="Tahoma"/>
          <w:b/>
          <w:bCs/>
        </w:rPr>
        <w:br w:type="page"/>
      </w:r>
    </w:p>
    <w:p w14:paraId="6A9DF62B" w14:textId="47C1FBEF" w:rsidR="004C2ABC" w:rsidRPr="004C2ABC" w:rsidRDefault="004C2ABC" w:rsidP="004C2ABC">
      <w:pPr>
        <w:pStyle w:val="Estilo2"/>
        <w:outlineLvl w:val="0"/>
        <w:rPr>
          <w:rFonts w:ascii="Tahoma" w:hAnsi="Tahoma" w:cs="Tahoma"/>
          <w:i w:val="0"/>
          <w:iCs w:val="0"/>
        </w:rPr>
      </w:pPr>
      <w:bookmarkStart w:id="0" w:name="_Toc199334600"/>
      <w:r w:rsidRPr="004C2ABC">
        <w:rPr>
          <w:rFonts w:ascii="Tahoma" w:hAnsi="Tahoma" w:cs="Tahoma"/>
          <w:i w:val="0"/>
          <w:iCs w:val="0"/>
        </w:rPr>
        <w:lastRenderedPageBreak/>
        <w:t>INTRODUÇÃO</w:t>
      </w:r>
      <w:bookmarkEnd w:id="0"/>
    </w:p>
    <w:p w14:paraId="061212ED" w14:textId="31F5A9A2" w:rsidR="004C2ABC" w:rsidRPr="004C2ABC" w:rsidRDefault="004C2ABC" w:rsidP="004C2ABC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Este relatório apresenta os resultados parciais do modelo geológico conceitual em fase final de elaboração para a bacia do Alto Teles Pires.</w:t>
      </w:r>
    </w:p>
    <w:p w14:paraId="2F505ECC" w14:textId="77777777" w:rsidR="004C2ABC" w:rsidRPr="004C2ABC" w:rsidRDefault="004C2ABC" w:rsidP="004C2ABC">
      <w:pPr>
        <w:spacing w:line="360" w:lineRule="auto"/>
        <w:jc w:val="both"/>
        <w:rPr>
          <w:rFonts w:ascii="Tahoma" w:hAnsi="Tahoma" w:cs="Tahoma"/>
        </w:rPr>
      </w:pPr>
    </w:p>
    <w:p w14:paraId="6770AA70" w14:textId="070331F6" w:rsidR="00ED192D" w:rsidRDefault="004C2ABC" w:rsidP="00ED192D">
      <w:pPr>
        <w:pStyle w:val="Estilo2"/>
        <w:outlineLvl w:val="0"/>
        <w:rPr>
          <w:rFonts w:ascii="Tahoma" w:hAnsi="Tahoma" w:cs="Tahoma"/>
          <w:i w:val="0"/>
          <w:iCs w:val="0"/>
        </w:rPr>
      </w:pPr>
      <w:bookmarkStart w:id="1" w:name="_Toc199334601"/>
      <w:r>
        <w:rPr>
          <w:rFonts w:ascii="Tahoma" w:hAnsi="Tahoma" w:cs="Tahoma"/>
          <w:i w:val="0"/>
          <w:iCs w:val="0"/>
        </w:rPr>
        <w:t>UNIDADES HIDROGEOLÓGICAS</w:t>
      </w:r>
      <w:bookmarkEnd w:id="1"/>
    </w:p>
    <w:p w14:paraId="41C749F4" w14:textId="562B3984" w:rsidR="00ED192D" w:rsidRPr="00ED192D" w:rsidRDefault="00ED192D" w:rsidP="00ED192D">
      <w:pPr>
        <w:pStyle w:val="Estilo3"/>
      </w:pPr>
      <w:r>
        <w:t>Sistema Aquífero Parecis</w:t>
      </w:r>
    </w:p>
    <w:p w14:paraId="4F0842CC" w14:textId="334264E1" w:rsidR="00ED192D" w:rsidRDefault="00ED192D" w:rsidP="00ED192D">
      <w:pPr>
        <w:spacing w:line="360" w:lineRule="auto"/>
        <w:jc w:val="both"/>
        <w:rPr>
          <w:rFonts w:ascii="Tahoma" w:hAnsi="Tahoma" w:cs="Tahoma"/>
        </w:rPr>
      </w:pPr>
      <w:r w:rsidRPr="00ED192D">
        <w:rPr>
          <w:rFonts w:ascii="Tahoma" w:hAnsi="Tahoma" w:cs="Tahoma"/>
        </w:rPr>
        <w:t xml:space="preserve">O </w:t>
      </w:r>
      <w:r>
        <w:rPr>
          <w:rFonts w:ascii="Tahoma" w:hAnsi="Tahoma" w:cs="Tahoma"/>
        </w:rPr>
        <w:t xml:space="preserve">Sistema </w:t>
      </w:r>
      <w:r w:rsidRPr="00ED192D">
        <w:rPr>
          <w:rFonts w:ascii="Tahoma" w:hAnsi="Tahoma" w:cs="Tahoma"/>
        </w:rPr>
        <w:t xml:space="preserve">Aquífero Parecis é uma das principais unidades hidrogeológicas do Estado de Mato Grosso, estendendo-se predominantemente sobre o Chapadão dos Parecis, na região centro-oeste e noroeste do estado. Ele se desenvolve em rochas sedimentares do Grupo Parecis, de idade </w:t>
      </w:r>
      <w:proofErr w:type="spellStart"/>
      <w:r w:rsidRPr="00ED192D">
        <w:rPr>
          <w:rFonts w:ascii="Tahoma" w:hAnsi="Tahoma" w:cs="Tahoma"/>
        </w:rPr>
        <w:t>Mesozóica</w:t>
      </w:r>
      <w:proofErr w:type="spellEnd"/>
      <w:r w:rsidRPr="00ED192D">
        <w:rPr>
          <w:rFonts w:ascii="Tahoma" w:hAnsi="Tahoma" w:cs="Tahoma"/>
        </w:rPr>
        <w:t>, sendo constituído por duas formações principais: a Formação Utiariti, na base, e a Formação Salto das Nuvens, no topo. Essas unidades são compostas principalmente por arenitos de granulação fina a média, com variações locais para conglomerados, siltitos e argilitos.</w:t>
      </w:r>
    </w:p>
    <w:p w14:paraId="6FDD17F4" w14:textId="1C7D9008" w:rsidR="00D90FF3" w:rsidRDefault="00ED192D" w:rsidP="00ED192D">
      <w:pPr>
        <w:spacing w:line="360" w:lineRule="auto"/>
        <w:jc w:val="both"/>
        <w:rPr>
          <w:rFonts w:ascii="Tahoma" w:hAnsi="Tahoma" w:cs="Tahoma"/>
        </w:rPr>
      </w:pPr>
      <w:r w:rsidRPr="00ED192D">
        <w:rPr>
          <w:rFonts w:ascii="Tahoma" w:hAnsi="Tahoma" w:cs="Tahoma"/>
        </w:rPr>
        <w:t xml:space="preserve">A Formação Utiariti caracteriza-se por arenitos finos a médios, mal selecionados, frequentemente com matriz argilosa, o que confere menor porosidade e permeabilidade em relação à unidade superior. </w:t>
      </w:r>
      <w:r w:rsidR="00F74827">
        <w:rPr>
          <w:rFonts w:ascii="Tahoma" w:hAnsi="Tahoma" w:cs="Tahoma"/>
        </w:rPr>
        <w:t>Nesta unidade o</w:t>
      </w:r>
      <w:r w:rsidR="00D90FF3" w:rsidRPr="00ED192D">
        <w:rPr>
          <w:rFonts w:ascii="Tahoma" w:hAnsi="Tahoma" w:cs="Tahoma"/>
        </w:rPr>
        <w:t>s parâmetros hidráulicos variam significativamente conforme a fácies sedimentar, com condutividades hidráulicas da ordem de 10⁻⁵ a 10⁻³ m/s e transmissividades que podem ultrapassar 1.</w:t>
      </w:r>
      <w:r w:rsidR="00F74827">
        <w:rPr>
          <w:rFonts w:ascii="Tahoma" w:hAnsi="Tahoma" w:cs="Tahoma"/>
        </w:rPr>
        <w:t>5</w:t>
      </w:r>
      <w:r w:rsidR="00D90FF3" w:rsidRPr="00ED192D">
        <w:rPr>
          <w:rFonts w:ascii="Tahoma" w:hAnsi="Tahoma" w:cs="Tahoma"/>
        </w:rPr>
        <w:t>00 m²/dia em áreas com melhor desenvolvimento granulométrico</w:t>
      </w:r>
      <w:r w:rsidR="00F74827">
        <w:rPr>
          <w:rFonts w:ascii="Tahoma" w:hAnsi="Tahoma" w:cs="Tahoma"/>
        </w:rPr>
        <w:t xml:space="preserve"> (</w:t>
      </w:r>
      <w:r w:rsidR="00F74827" w:rsidRPr="004A34BD">
        <w:rPr>
          <w:rFonts w:ascii="Tahoma" w:hAnsi="Tahoma" w:cs="Tahoma"/>
        </w:rPr>
        <w:t>Silva, 2013</w:t>
      </w:r>
      <w:r w:rsidR="00F74827">
        <w:rPr>
          <w:rFonts w:ascii="Tahoma" w:hAnsi="Tahoma" w:cs="Tahoma"/>
        </w:rPr>
        <w:t xml:space="preserve">; Backles &amp; Migliorini, 2022; </w:t>
      </w:r>
      <w:r w:rsidR="0074680A">
        <w:rPr>
          <w:rFonts w:ascii="Tahoma" w:hAnsi="Tahoma" w:cs="Tahoma"/>
        </w:rPr>
        <w:t>CPRM, 2012; Cutrim et al., 2021</w:t>
      </w:r>
      <w:r w:rsidR="00F74827">
        <w:rPr>
          <w:rFonts w:ascii="Tahoma" w:hAnsi="Tahoma" w:cs="Tahoma"/>
        </w:rPr>
        <w:t>)</w:t>
      </w:r>
      <w:r w:rsidR="00D90FF3" w:rsidRPr="00ED192D">
        <w:rPr>
          <w:rFonts w:ascii="Tahoma" w:hAnsi="Tahoma" w:cs="Tahoma"/>
        </w:rPr>
        <w:t>.</w:t>
      </w:r>
    </w:p>
    <w:p w14:paraId="533C6859" w14:textId="25E4532C" w:rsidR="00ED192D" w:rsidRPr="00ED192D" w:rsidRDefault="00ED192D" w:rsidP="00ED192D">
      <w:pPr>
        <w:spacing w:line="360" w:lineRule="auto"/>
        <w:jc w:val="both"/>
        <w:rPr>
          <w:rFonts w:ascii="Tahoma" w:hAnsi="Tahoma" w:cs="Tahoma"/>
        </w:rPr>
      </w:pPr>
      <w:r w:rsidRPr="00ED192D">
        <w:rPr>
          <w:rFonts w:ascii="Tahoma" w:hAnsi="Tahoma" w:cs="Tahoma"/>
        </w:rPr>
        <w:t xml:space="preserve">Já a Formação Salto das Nuvens é composta por arenitos mais grossos, por vezes conglomeráticos, com maior grau de intercalações arenosas e menor conteúdo de finos, o que favorece sua atuação como o principal aquífero do sistema. </w:t>
      </w:r>
      <w:r w:rsidR="00F74827">
        <w:rPr>
          <w:rFonts w:ascii="Tahoma" w:hAnsi="Tahoma" w:cs="Tahoma"/>
        </w:rPr>
        <w:t>N</w:t>
      </w:r>
      <w:r w:rsidR="00F74827" w:rsidRPr="00ED192D">
        <w:rPr>
          <w:rFonts w:ascii="Tahoma" w:hAnsi="Tahoma" w:cs="Tahoma"/>
        </w:rPr>
        <w:t xml:space="preserve">a Formação Salto das Nuvens </w:t>
      </w:r>
      <w:r w:rsidR="00F74827">
        <w:rPr>
          <w:rFonts w:ascii="Tahoma" w:hAnsi="Tahoma" w:cs="Tahoma"/>
        </w:rPr>
        <w:t>o</w:t>
      </w:r>
      <w:r w:rsidRPr="00ED192D">
        <w:rPr>
          <w:rFonts w:ascii="Tahoma" w:hAnsi="Tahoma" w:cs="Tahoma"/>
        </w:rPr>
        <w:t>s parâmetros hidráulicos variam conforme a fácies sedimentar, com condutividades hidráulicas da ordem de 10⁻</w:t>
      </w:r>
      <w:r w:rsidR="00F74827" w:rsidRPr="00F74827">
        <w:rPr>
          <w:rFonts w:ascii="Tahoma" w:hAnsi="Tahoma" w:cs="Tahoma"/>
          <w:vertAlign w:val="superscript"/>
        </w:rPr>
        <w:t>7</w:t>
      </w:r>
      <w:r w:rsidRPr="00ED192D">
        <w:rPr>
          <w:rFonts w:ascii="Tahoma" w:hAnsi="Tahoma" w:cs="Tahoma"/>
        </w:rPr>
        <w:t xml:space="preserve"> a 10⁻</w:t>
      </w:r>
      <w:r w:rsidR="00F74827" w:rsidRPr="00F74827">
        <w:rPr>
          <w:rFonts w:ascii="Tahoma" w:hAnsi="Tahoma" w:cs="Tahoma"/>
          <w:vertAlign w:val="superscript"/>
        </w:rPr>
        <w:t>5</w:t>
      </w:r>
      <w:r w:rsidRPr="00ED192D">
        <w:rPr>
          <w:rFonts w:ascii="Tahoma" w:hAnsi="Tahoma" w:cs="Tahoma"/>
        </w:rPr>
        <w:t xml:space="preserve"> m/s e transmissividades que podem ultrapassar </w:t>
      </w:r>
      <w:r w:rsidR="00F74827">
        <w:rPr>
          <w:rFonts w:ascii="Tahoma" w:hAnsi="Tahoma" w:cs="Tahoma"/>
        </w:rPr>
        <w:t>500</w:t>
      </w:r>
      <w:r w:rsidRPr="00ED192D">
        <w:rPr>
          <w:rFonts w:ascii="Tahoma" w:hAnsi="Tahoma" w:cs="Tahoma"/>
        </w:rPr>
        <w:t xml:space="preserve"> m²/dia em áreas com melhor desenvolvimento granulométrico</w:t>
      </w:r>
      <w:r w:rsidR="0074680A">
        <w:rPr>
          <w:rFonts w:ascii="Tahoma" w:hAnsi="Tahoma" w:cs="Tahoma"/>
        </w:rPr>
        <w:t xml:space="preserve"> (</w:t>
      </w:r>
      <w:r w:rsidR="0074680A" w:rsidRPr="004A34BD">
        <w:rPr>
          <w:rFonts w:ascii="Tahoma" w:hAnsi="Tahoma" w:cs="Tahoma"/>
        </w:rPr>
        <w:t>Silva, 2013</w:t>
      </w:r>
      <w:r w:rsidR="0074680A">
        <w:rPr>
          <w:rFonts w:ascii="Tahoma" w:hAnsi="Tahoma" w:cs="Tahoma"/>
        </w:rPr>
        <w:t>; Backles &amp; Migliorini, 2022; CPRM, 2012; Cutrim et al., 2021)</w:t>
      </w:r>
      <w:r w:rsidR="0074680A" w:rsidRPr="00ED192D">
        <w:rPr>
          <w:rFonts w:ascii="Tahoma" w:hAnsi="Tahoma" w:cs="Tahoma"/>
        </w:rPr>
        <w:t>.</w:t>
      </w:r>
    </w:p>
    <w:p w14:paraId="7FD5A473" w14:textId="77777777" w:rsidR="0074680A" w:rsidRDefault="00ED192D" w:rsidP="00ED192D">
      <w:pPr>
        <w:spacing w:line="360" w:lineRule="auto"/>
        <w:jc w:val="both"/>
        <w:rPr>
          <w:rFonts w:ascii="Tahoma" w:hAnsi="Tahoma" w:cs="Tahoma"/>
        </w:rPr>
      </w:pPr>
      <w:r w:rsidRPr="00ED192D">
        <w:rPr>
          <w:rFonts w:ascii="Tahoma" w:hAnsi="Tahoma" w:cs="Tahoma"/>
        </w:rPr>
        <w:lastRenderedPageBreak/>
        <w:t xml:space="preserve">A disponibilidade hídrica do </w:t>
      </w:r>
      <w:r w:rsidR="00F74827">
        <w:rPr>
          <w:rFonts w:ascii="Tahoma" w:hAnsi="Tahoma" w:cs="Tahoma"/>
        </w:rPr>
        <w:t xml:space="preserve">Sistema </w:t>
      </w:r>
      <w:r w:rsidRPr="00ED192D">
        <w:rPr>
          <w:rFonts w:ascii="Tahoma" w:hAnsi="Tahoma" w:cs="Tahoma"/>
        </w:rPr>
        <w:t>Aquífero Parecis é considerada boa a excelente em determinadas áreas, especialmente onde a recarga é favorecida por solos arenosos e baixa cobertura de solo impermeável</w:t>
      </w:r>
      <w:r w:rsidR="0074680A">
        <w:rPr>
          <w:rFonts w:ascii="Tahoma" w:hAnsi="Tahoma" w:cs="Tahoma"/>
        </w:rPr>
        <w:t xml:space="preserve"> </w:t>
      </w:r>
      <w:r w:rsidR="0074680A" w:rsidRPr="00070F67">
        <w:rPr>
          <w:rFonts w:ascii="Tahoma" w:hAnsi="Tahoma" w:cs="Tahoma"/>
        </w:rPr>
        <w:t>subterrâneas (Silva, 2013)</w:t>
      </w:r>
      <w:r w:rsidRPr="00ED192D">
        <w:rPr>
          <w:rFonts w:ascii="Tahoma" w:hAnsi="Tahoma" w:cs="Tahoma"/>
        </w:rPr>
        <w:t xml:space="preserve">. A recarga é predominantemente pluviométrica   na   área   da   chapada   dos   Parecis, ocorrendo de forma difusa. A profundidade do lençol freático pode variar de poucos metros até mais de 100 metros em áreas topograficamente elevadas, o que influencia diretamente a explotação. </w:t>
      </w:r>
    </w:p>
    <w:p w14:paraId="5AD5CC54" w14:textId="3AAAEC2E" w:rsidR="0074680A" w:rsidRDefault="0074680A" w:rsidP="00ED192D">
      <w:pPr>
        <w:spacing w:line="360" w:lineRule="auto"/>
        <w:jc w:val="both"/>
        <w:rPr>
          <w:rFonts w:ascii="Tahoma" w:hAnsi="Tahoma" w:cs="Tahoma"/>
        </w:rPr>
      </w:pPr>
      <w:r w:rsidRPr="0074680A">
        <w:rPr>
          <w:rFonts w:ascii="Tahoma" w:hAnsi="Tahoma" w:cs="Tahoma"/>
        </w:rPr>
        <w:t xml:space="preserve">Cutrim (2010) realizou uma caracterização do SAP na área do município de Lucas do Rio Verde (MT), na qual o autor estimou as reservas reguladora, permanente, reguladora e total. </w:t>
      </w:r>
      <w:r>
        <w:rPr>
          <w:rFonts w:ascii="Tahoma" w:hAnsi="Tahoma" w:cs="Tahoma"/>
        </w:rPr>
        <w:t>A</w:t>
      </w:r>
      <w:r w:rsidRPr="0074680A">
        <w:rPr>
          <w:rFonts w:ascii="Tahoma" w:hAnsi="Tahoma" w:cs="Tahoma"/>
        </w:rPr>
        <w:t>s reservas reguladoras, permanentes, totais e explotáveis foram estimadas em 9,3 x 10</w:t>
      </w:r>
      <w:r w:rsidRPr="00333612">
        <w:rPr>
          <w:rFonts w:ascii="Tahoma" w:hAnsi="Tahoma" w:cs="Tahoma"/>
          <w:vertAlign w:val="superscript"/>
        </w:rPr>
        <w:t>6</w:t>
      </w:r>
      <w:r w:rsidRPr="0074680A">
        <w:rPr>
          <w:rFonts w:ascii="Tahoma" w:hAnsi="Tahoma" w:cs="Tahoma"/>
        </w:rPr>
        <w:t xml:space="preserve"> m</w:t>
      </w:r>
      <w:r w:rsidRPr="00333612">
        <w:rPr>
          <w:rFonts w:ascii="Tahoma" w:hAnsi="Tahoma" w:cs="Tahoma"/>
          <w:vertAlign w:val="superscript"/>
        </w:rPr>
        <w:t>3</w:t>
      </w:r>
      <w:r w:rsidRPr="0074680A">
        <w:rPr>
          <w:rFonts w:ascii="Tahoma" w:hAnsi="Tahoma" w:cs="Tahoma"/>
        </w:rPr>
        <w:t>/ano, 4,7 x 10</w:t>
      </w:r>
      <w:r w:rsidRPr="00333612">
        <w:rPr>
          <w:rFonts w:ascii="Tahoma" w:hAnsi="Tahoma" w:cs="Tahoma"/>
          <w:vertAlign w:val="superscript"/>
        </w:rPr>
        <w:t>8</w:t>
      </w:r>
      <w:r w:rsidRPr="0074680A">
        <w:rPr>
          <w:rFonts w:ascii="Tahoma" w:hAnsi="Tahoma" w:cs="Tahoma"/>
        </w:rPr>
        <w:t xml:space="preserve"> m</w:t>
      </w:r>
      <w:r w:rsidRPr="00333612">
        <w:rPr>
          <w:rFonts w:ascii="Tahoma" w:hAnsi="Tahoma" w:cs="Tahoma"/>
          <w:vertAlign w:val="superscript"/>
        </w:rPr>
        <w:t>3</w:t>
      </w:r>
      <w:r w:rsidRPr="0074680A">
        <w:rPr>
          <w:rFonts w:ascii="Tahoma" w:hAnsi="Tahoma" w:cs="Tahoma"/>
        </w:rPr>
        <w:t>, 4,8 x 10</w:t>
      </w:r>
      <w:r w:rsidRPr="00333612">
        <w:rPr>
          <w:rFonts w:ascii="Tahoma" w:hAnsi="Tahoma" w:cs="Tahoma"/>
          <w:vertAlign w:val="superscript"/>
        </w:rPr>
        <w:t>8</w:t>
      </w:r>
      <w:r w:rsidRPr="0074680A">
        <w:rPr>
          <w:rFonts w:ascii="Tahoma" w:hAnsi="Tahoma" w:cs="Tahoma"/>
        </w:rPr>
        <w:t xml:space="preserve"> m</w:t>
      </w:r>
      <w:r w:rsidRPr="00333612">
        <w:rPr>
          <w:rFonts w:ascii="Tahoma" w:hAnsi="Tahoma" w:cs="Tahoma"/>
          <w:vertAlign w:val="superscript"/>
        </w:rPr>
        <w:t>3</w:t>
      </w:r>
      <w:r w:rsidRPr="0074680A">
        <w:rPr>
          <w:rFonts w:ascii="Tahoma" w:hAnsi="Tahoma" w:cs="Tahoma"/>
        </w:rPr>
        <w:t xml:space="preserve"> e 1,2 x 10</w:t>
      </w:r>
      <w:r w:rsidRPr="00333612">
        <w:rPr>
          <w:rFonts w:ascii="Tahoma" w:hAnsi="Tahoma" w:cs="Tahoma"/>
          <w:vertAlign w:val="superscript"/>
        </w:rPr>
        <w:t>7</w:t>
      </w:r>
      <w:r w:rsidRPr="0074680A">
        <w:rPr>
          <w:rFonts w:ascii="Tahoma" w:hAnsi="Tahoma" w:cs="Tahoma"/>
        </w:rPr>
        <w:t xml:space="preserve"> m</w:t>
      </w:r>
      <w:r w:rsidRPr="00333612">
        <w:rPr>
          <w:rFonts w:ascii="Tahoma" w:hAnsi="Tahoma" w:cs="Tahoma"/>
          <w:vertAlign w:val="superscript"/>
        </w:rPr>
        <w:t>3</w:t>
      </w:r>
      <w:r w:rsidRPr="0074680A">
        <w:rPr>
          <w:rFonts w:ascii="Tahoma" w:hAnsi="Tahoma" w:cs="Tahoma"/>
        </w:rPr>
        <w:t>/ano, respectivamente.</w:t>
      </w:r>
    </w:p>
    <w:p w14:paraId="654DBABA" w14:textId="463F275B" w:rsidR="00ED192D" w:rsidRPr="00ED192D" w:rsidRDefault="00ED192D" w:rsidP="00ED192D">
      <w:pPr>
        <w:spacing w:line="360" w:lineRule="auto"/>
        <w:jc w:val="both"/>
        <w:rPr>
          <w:rFonts w:ascii="Tahoma" w:hAnsi="Tahoma" w:cs="Tahoma"/>
        </w:rPr>
      </w:pPr>
      <w:r w:rsidRPr="00ED192D">
        <w:rPr>
          <w:rFonts w:ascii="Tahoma" w:hAnsi="Tahoma" w:cs="Tahoma"/>
        </w:rPr>
        <w:t>Os poços tubulares perfurados na unidade normalmente apresentam vazões entre 10 a 50 m³/h, podendo chegar a valores superiores em setores com melhor qualidade do aquífero.</w:t>
      </w:r>
      <w:r w:rsidR="00CF562A">
        <w:rPr>
          <w:rFonts w:ascii="Tahoma" w:hAnsi="Tahoma" w:cs="Tahoma"/>
        </w:rPr>
        <w:t xml:space="preserve"> Pereira et al. (2014) afirmam que no Sistema Aquífero Parecis ocorrem poços com vazões de até 300 m</w:t>
      </w:r>
      <w:r w:rsidR="00CF562A" w:rsidRPr="00035AA9">
        <w:rPr>
          <w:rFonts w:ascii="Tahoma" w:hAnsi="Tahoma" w:cs="Tahoma"/>
          <w:vertAlign w:val="superscript"/>
        </w:rPr>
        <w:t>3</w:t>
      </w:r>
      <w:r w:rsidR="00CF562A" w:rsidRPr="00A769BA">
        <w:rPr>
          <w:rFonts w:ascii="Tahoma" w:hAnsi="Tahoma" w:cs="Tahoma"/>
        </w:rPr>
        <w:t>/</w:t>
      </w:r>
      <w:r w:rsidR="00CF562A">
        <w:rPr>
          <w:rFonts w:ascii="Tahoma" w:hAnsi="Tahoma" w:cs="Tahoma"/>
        </w:rPr>
        <w:t>h e com capacidades específicas de até 15 m</w:t>
      </w:r>
      <w:r w:rsidR="00CF562A" w:rsidRPr="00035AA9">
        <w:rPr>
          <w:rFonts w:ascii="Tahoma" w:hAnsi="Tahoma" w:cs="Tahoma"/>
          <w:vertAlign w:val="superscript"/>
        </w:rPr>
        <w:t>3</w:t>
      </w:r>
      <w:r w:rsidR="00CF562A" w:rsidRPr="00A769BA">
        <w:rPr>
          <w:rFonts w:ascii="Tahoma" w:hAnsi="Tahoma" w:cs="Tahoma"/>
        </w:rPr>
        <w:t>/</w:t>
      </w:r>
      <w:r w:rsidR="00CF562A">
        <w:rPr>
          <w:rFonts w:ascii="Tahoma" w:hAnsi="Tahoma" w:cs="Tahoma"/>
        </w:rPr>
        <w:t>h</w:t>
      </w:r>
      <w:r w:rsidR="00CF562A" w:rsidRPr="00A769BA">
        <w:rPr>
          <w:rFonts w:ascii="Tahoma" w:hAnsi="Tahoma" w:cs="Tahoma"/>
        </w:rPr>
        <w:t>/</w:t>
      </w:r>
      <w:r w:rsidR="00CF562A">
        <w:rPr>
          <w:rFonts w:ascii="Tahoma" w:hAnsi="Tahoma" w:cs="Tahoma"/>
        </w:rPr>
        <w:t>m.</w:t>
      </w:r>
    </w:p>
    <w:p w14:paraId="3A79C17E" w14:textId="6D4FDD54" w:rsidR="00ED192D" w:rsidRPr="00ED192D" w:rsidRDefault="00ED192D" w:rsidP="00ED192D">
      <w:pPr>
        <w:spacing w:line="360" w:lineRule="auto"/>
        <w:jc w:val="both"/>
        <w:rPr>
          <w:rFonts w:ascii="Tahoma" w:hAnsi="Tahoma" w:cs="Tahoma"/>
        </w:rPr>
      </w:pPr>
      <w:r w:rsidRPr="00ED192D">
        <w:rPr>
          <w:rFonts w:ascii="Tahoma" w:hAnsi="Tahoma" w:cs="Tahoma"/>
        </w:rPr>
        <w:t xml:space="preserve">Do ponto de vista hidroquímico, a água subterrânea do Aquífero Parecis é majoritariamente do tipo bicarbonatada cálcica ou sódica, com baixa a média mineralização, refletindo uma água jovem com pouco tempo de residência no subsolo. </w:t>
      </w:r>
    </w:p>
    <w:p w14:paraId="1F9E970B" w14:textId="5BCC7DA0" w:rsidR="004C2ABC" w:rsidRDefault="00ED192D" w:rsidP="00ED192D">
      <w:pPr>
        <w:spacing w:line="360" w:lineRule="auto"/>
        <w:jc w:val="both"/>
        <w:rPr>
          <w:rFonts w:ascii="Tahoma" w:hAnsi="Tahoma" w:cs="Tahoma"/>
        </w:rPr>
      </w:pPr>
      <w:r w:rsidRPr="00ED192D">
        <w:rPr>
          <w:rFonts w:ascii="Tahoma" w:hAnsi="Tahoma" w:cs="Tahoma"/>
        </w:rPr>
        <w:t>As principais utilizações da água subterrânea do Aquífero Parecis são voltadas ao abastecimento humano rural, à irrigação agrícola (especialmente na produção de grãos como soja e milho) e ao uso industrial local</w:t>
      </w:r>
      <w:r w:rsidR="00CF562A">
        <w:rPr>
          <w:rFonts w:ascii="Tahoma" w:hAnsi="Tahoma" w:cs="Tahoma"/>
        </w:rPr>
        <w:t xml:space="preserve"> (Backles &amp; Migliorini, 2022)</w:t>
      </w:r>
      <w:r w:rsidRPr="00ED192D">
        <w:rPr>
          <w:rFonts w:ascii="Tahoma" w:hAnsi="Tahoma" w:cs="Tahoma"/>
        </w:rPr>
        <w:t>. Devido ao crescimento do agronegócio no estado, o uso da água subterrânea vem aumentando, o que exige um planejamento e monitoramento adequados para garantir a sustentabilidade hídrica da região. O aquífero representa um recurso estratégico, especialmente em períodos de estiagem, quando os cursos d'água superficiais apresentam menor disponibilidade.</w:t>
      </w:r>
    </w:p>
    <w:p w14:paraId="39D6D0FD" w14:textId="77777777" w:rsidR="00333612" w:rsidRDefault="00333612" w:rsidP="00ED192D">
      <w:pPr>
        <w:spacing w:line="360" w:lineRule="auto"/>
        <w:jc w:val="both"/>
        <w:rPr>
          <w:rFonts w:ascii="Tahoma" w:hAnsi="Tahoma" w:cs="Tahoma"/>
        </w:rPr>
      </w:pPr>
    </w:p>
    <w:p w14:paraId="4B05B06E" w14:textId="5B627103" w:rsidR="00333612" w:rsidRDefault="00333612" w:rsidP="00333612">
      <w:pPr>
        <w:pStyle w:val="Estilo3"/>
        <w:numPr>
          <w:ilvl w:val="1"/>
          <w:numId w:val="7"/>
        </w:numPr>
      </w:pPr>
      <w:r>
        <w:lastRenderedPageBreak/>
        <w:t>Aquífero Ronuro</w:t>
      </w:r>
    </w:p>
    <w:p w14:paraId="7D9B7F79" w14:textId="77777777" w:rsidR="00A848CD" w:rsidRDefault="00790E1D" w:rsidP="00790E1D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 </w:t>
      </w:r>
      <w:r w:rsidRPr="00790E1D">
        <w:rPr>
          <w:rFonts w:ascii="Tahoma" w:hAnsi="Tahoma" w:cs="Tahoma"/>
        </w:rPr>
        <w:t>unidade aquífera Ronuro é uma importante unidade hidrogeológica localizada na região centro-nordeste do estado de Mato Grosso.</w:t>
      </w:r>
      <w:r>
        <w:rPr>
          <w:rFonts w:ascii="Tahoma" w:hAnsi="Tahoma" w:cs="Tahoma"/>
        </w:rPr>
        <w:t xml:space="preserve"> O Aquífero Ronuro recobre extensas porções do Aquífero Salto das Nuvens e, portanto, devem promover importantes volumes de recarga para este aquífero. </w:t>
      </w:r>
      <w:r w:rsidRPr="00790E1D">
        <w:rPr>
          <w:rFonts w:ascii="Tahoma" w:hAnsi="Tahoma" w:cs="Tahoma"/>
        </w:rPr>
        <w:t>A disponibilidade hídrica do Aquífero Ronuro é considerada limitada quando comparada a</w:t>
      </w:r>
      <w:r>
        <w:rPr>
          <w:rFonts w:ascii="Tahoma" w:hAnsi="Tahoma" w:cs="Tahoma"/>
        </w:rPr>
        <w:t>os</w:t>
      </w:r>
      <w:r w:rsidRPr="00790E1D">
        <w:rPr>
          <w:rFonts w:ascii="Tahoma" w:hAnsi="Tahoma" w:cs="Tahoma"/>
        </w:rPr>
        <w:t xml:space="preserve"> sistemas porosos</w:t>
      </w:r>
      <w:r>
        <w:rPr>
          <w:rFonts w:ascii="Tahoma" w:hAnsi="Tahoma" w:cs="Tahoma"/>
        </w:rPr>
        <w:t xml:space="preserve"> inferiores</w:t>
      </w:r>
      <w:r w:rsidRPr="00790E1D">
        <w:rPr>
          <w:rFonts w:ascii="Tahoma" w:hAnsi="Tahoma" w:cs="Tahoma"/>
        </w:rPr>
        <w:t xml:space="preserve">. </w:t>
      </w:r>
    </w:p>
    <w:p w14:paraId="544D0D22" w14:textId="5EFBD15B" w:rsidR="00790E1D" w:rsidRDefault="00790E1D" w:rsidP="00790E1D">
      <w:pPr>
        <w:spacing w:line="360" w:lineRule="auto"/>
        <w:jc w:val="both"/>
        <w:rPr>
          <w:rFonts w:ascii="Tahoma" w:hAnsi="Tahoma" w:cs="Tahoma"/>
        </w:rPr>
      </w:pPr>
      <w:r w:rsidRPr="00790E1D">
        <w:rPr>
          <w:rFonts w:ascii="Tahoma" w:hAnsi="Tahoma" w:cs="Tahoma"/>
        </w:rPr>
        <w:t>A recarga ocorre de forma difusa, predominantemente meteórica, favorecida por solos pouco espessos e boa infiltração superficial. A ausência de camadas confinantes e a grande heterogeneidade estrutural tornam o aquífero vulnerável a variações sazonais, com rebaixamento do nível freático durante períodos de seca prolongada.</w:t>
      </w:r>
      <w:r w:rsidR="00A848CD">
        <w:rPr>
          <w:rFonts w:ascii="Tahoma" w:hAnsi="Tahoma" w:cs="Tahoma"/>
        </w:rPr>
        <w:t xml:space="preserve"> </w:t>
      </w:r>
    </w:p>
    <w:p w14:paraId="3425B866" w14:textId="41DAA11F" w:rsidR="00A848CD" w:rsidRPr="00790E1D" w:rsidRDefault="00A848CD" w:rsidP="00790E1D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 Aquífero Ronuro apresenta </w:t>
      </w:r>
      <w:r w:rsidRPr="00ED192D">
        <w:rPr>
          <w:rFonts w:ascii="Tahoma" w:hAnsi="Tahoma" w:cs="Tahoma"/>
        </w:rPr>
        <w:t xml:space="preserve">transmissividades que podem ultrapassar </w:t>
      </w:r>
      <w:r>
        <w:rPr>
          <w:rFonts w:ascii="Tahoma" w:hAnsi="Tahoma" w:cs="Tahoma"/>
        </w:rPr>
        <w:t>500</w:t>
      </w:r>
      <w:r w:rsidRPr="00ED192D">
        <w:rPr>
          <w:rFonts w:ascii="Tahoma" w:hAnsi="Tahoma" w:cs="Tahoma"/>
        </w:rPr>
        <w:t xml:space="preserve"> m²/dia em áreas com melhor desenvolvimento granulométrico</w:t>
      </w:r>
      <w:r>
        <w:rPr>
          <w:rFonts w:ascii="Tahoma" w:hAnsi="Tahoma" w:cs="Tahoma"/>
        </w:rPr>
        <w:t xml:space="preserve"> (</w:t>
      </w:r>
      <w:r w:rsidRPr="004A34BD">
        <w:rPr>
          <w:rFonts w:ascii="Tahoma" w:hAnsi="Tahoma" w:cs="Tahoma"/>
        </w:rPr>
        <w:t>Silva, 2013</w:t>
      </w:r>
      <w:r>
        <w:rPr>
          <w:rFonts w:ascii="Tahoma" w:hAnsi="Tahoma" w:cs="Tahoma"/>
        </w:rPr>
        <w:t>; Backles &amp; Migliorini, 2022; CPRM, 2012; Cutrim et al., 2021)</w:t>
      </w:r>
      <w:r w:rsidRPr="00ED192D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Pr="00387EE3">
        <w:rPr>
          <w:rFonts w:ascii="Tahoma" w:hAnsi="Tahoma" w:cs="Tahoma"/>
        </w:rPr>
        <w:t xml:space="preserve">As vazões de explotação variam entre 1 e 105 m³/h </w:t>
      </w:r>
      <w:r>
        <w:rPr>
          <w:rFonts w:ascii="Tahoma" w:hAnsi="Tahoma" w:cs="Tahoma"/>
        </w:rPr>
        <w:t>com</w:t>
      </w:r>
      <w:r w:rsidRPr="00387EE3">
        <w:rPr>
          <w:rFonts w:ascii="Tahoma" w:hAnsi="Tahoma" w:cs="Tahoma"/>
        </w:rPr>
        <w:t xml:space="preserve"> média de 10,42 m</w:t>
      </w:r>
      <w:r w:rsidRPr="00387EE3">
        <w:rPr>
          <w:rFonts w:ascii="Tahoma" w:hAnsi="Tahoma" w:cs="Tahoma"/>
          <w:vertAlign w:val="superscript"/>
        </w:rPr>
        <w:t>3</w:t>
      </w:r>
      <w:r w:rsidRPr="00387EE3">
        <w:rPr>
          <w:rFonts w:ascii="Tahoma" w:hAnsi="Tahoma" w:cs="Tahoma"/>
        </w:rPr>
        <w:t>/</w:t>
      </w:r>
      <w:r>
        <w:rPr>
          <w:rFonts w:ascii="Tahoma" w:hAnsi="Tahoma" w:cs="Tahoma"/>
        </w:rPr>
        <w:t>h. A</w:t>
      </w:r>
      <w:r w:rsidRPr="00387EE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capacidade específica</w:t>
      </w:r>
      <w:r w:rsidRPr="00387EE3">
        <w:rPr>
          <w:rFonts w:ascii="Tahoma" w:hAnsi="Tahoma" w:cs="Tahoma"/>
        </w:rPr>
        <w:t xml:space="preserve"> regional </w:t>
      </w:r>
      <w:r>
        <w:rPr>
          <w:rFonts w:ascii="Tahoma" w:hAnsi="Tahoma" w:cs="Tahoma"/>
        </w:rPr>
        <w:t>gira</w:t>
      </w:r>
      <w:r w:rsidRPr="00387EE3">
        <w:rPr>
          <w:rFonts w:ascii="Tahoma" w:hAnsi="Tahoma" w:cs="Tahoma"/>
        </w:rPr>
        <w:t xml:space="preserve"> torno de 1,5 m³/h/m.</w:t>
      </w:r>
      <w:r>
        <w:rPr>
          <w:rFonts w:ascii="Tahoma" w:hAnsi="Tahoma" w:cs="Tahoma"/>
        </w:rPr>
        <w:t xml:space="preserve"> </w:t>
      </w:r>
      <w:r w:rsidRPr="00A848CD">
        <w:rPr>
          <w:rFonts w:ascii="Tahoma" w:hAnsi="Tahoma" w:cs="Tahoma"/>
        </w:rPr>
        <w:t>Ressalte-se que, tendo em vista a indefinição das espessuras do Aquífero Ronuro, não é possível afirmar que todos os poços posicionados na área de ocorrência deste realmente aproveitam suas águas. É provável que poços com profundidades acima de 100 m tenham interceptado outras unidades aquíferas, como aquelas associadas ao Sistema Aquífero Parecis.</w:t>
      </w:r>
    </w:p>
    <w:p w14:paraId="61C27B48" w14:textId="403C5041" w:rsidR="00790E1D" w:rsidRPr="00790E1D" w:rsidRDefault="00790E1D" w:rsidP="00790E1D">
      <w:pPr>
        <w:spacing w:line="360" w:lineRule="auto"/>
        <w:jc w:val="both"/>
        <w:rPr>
          <w:rFonts w:ascii="Tahoma" w:hAnsi="Tahoma" w:cs="Tahoma"/>
        </w:rPr>
      </w:pPr>
      <w:r w:rsidRPr="00790E1D">
        <w:rPr>
          <w:rFonts w:ascii="Tahoma" w:hAnsi="Tahoma" w:cs="Tahoma"/>
        </w:rPr>
        <w:t xml:space="preserve">Do ponto de vista hidroquímico, as águas subterrâneas do Aquífero Ronuro apresentam, em geral, uma composição bicarbonatada cálcica a sódica, com baixa mineralização, refletindo sua origem meteórica recente e curto tempo de residência. </w:t>
      </w:r>
    </w:p>
    <w:p w14:paraId="04F6F5CA" w14:textId="77777777" w:rsidR="00A848CD" w:rsidRDefault="00790E1D" w:rsidP="00790E1D">
      <w:pPr>
        <w:spacing w:line="360" w:lineRule="auto"/>
        <w:jc w:val="both"/>
        <w:rPr>
          <w:rFonts w:ascii="Tahoma" w:hAnsi="Tahoma" w:cs="Tahoma"/>
        </w:rPr>
      </w:pPr>
      <w:r w:rsidRPr="00790E1D">
        <w:rPr>
          <w:rFonts w:ascii="Tahoma" w:hAnsi="Tahoma" w:cs="Tahoma"/>
        </w:rPr>
        <w:t xml:space="preserve">As principais utilizações da água do Aquífero Ronuro concentram-se no abastecimento humano rural, no uso agropecuário de pequena escala e em alguns casos no fornecimento complementar para sedes municipais de pequeno porte. </w:t>
      </w:r>
    </w:p>
    <w:p w14:paraId="08131770" w14:textId="38797C8D" w:rsidR="00212B09" w:rsidRPr="004C2ABC" w:rsidRDefault="00E72E19" w:rsidP="004C2ABC">
      <w:pPr>
        <w:pStyle w:val="Estilo2"/>
        <w:outlineLvl w:val="0"/>
        <w:rPr>
          <w:rFonts w:ascii="Tahoma" w:hAnsi="Tahoma" w:cs="Tahoma"/>
          <w:i w:val="0"/>
          <w:iCs w:val="0"/>
        </w:rPr>
      </w:pPr>
      <w:bookmarkStart w:id="2" w:name="_Toc199334603"/>
      <w:r w:rsidRPr="004C2ABC">
        <w:rPr>
          <w:rFonts w:ascii="Tahoma" w:hAnsi="Tahoma" w:cs="Tahoma"/>
          <w:i w:val="0"/>
          <w:iCs w:val="0"/>
        </w:rPr>
        <w:lastRenderedPageBreak/>
        <w:t>METODOLOGIA DE MODELAGEM GEOLÓGICA</w:t>
      </w:r>
      <w:bookmarkEnd w:id="2"/>
    </w:p>
    <w:p w14:paraId="653AA1BB" w14:textId="78A0D5A3" w:rsidR="005E10A6" w:rsidRPr="004C2ABC" w:rsidRDefault="00720402" w:rsidP="005153FB">
      <w:pPr>
        <w:spacing w:line="36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Para a modelagem e elaboração dos sólidos do modelo, utilizou-se os </w:t>
      </w:r>
      <w:r w:rsidRPr="004C2ABC">
        <w:rPr>
          <w:rFonts w:ascii="Tahoma" w:hAnsi="Tahoma" w:cs="Tahoma"/>
          <w:i/>
          <w:iCs/>
        </w:rPr>
        <w:t>softwares</w:t>
      </w:r>
      <w:r w:rsidRPr="004C2ABC">
        <w:rPr>
          <w:rFonts w:ascii="Tahoma" w:hAnsi="Tahoma" w:cs="Tahoma"/>
        </w:rPr>
        <w:t xml:space="preserve"> </w:t>
      </w:r>
      <w:r w:rsidRPr="004C2ABC">
        <w:rPr>
          <w:rFonts w:ascii="Tahoma" w:hAnsi="Tahoma" w:cs="Tahoma"/>
          <w:i/>
          <w:iCs/>
        </w:rPr>
        <w:t>QGIS</w:t>
      </w:r>
      <w:r w:rsidRPr="004C2ABC">
        <w:rPr>
          <w:rFonts w:ascii="Tahoma" w:hAnsi="Tahoma" w:cs="Tahoma"/>
        </w:rPr>
        <w:t xml:space="preserve">, </w:t>
      </w:r>
      <w:proofErr w:type="spellStart"/>
      <w:r w:rsidRPr="004C2ABC">
        <w:rPr>
          <w:rFonts w:ascii="Tahoma" w:hAnsi="Tahoma" w:cs="Tahoma"/>
          <w:i/>
          <w:iCs/>
        </w:rPr>
        <w:t>CloudCompare</w:t>
      </w:r>
      <w:proofErr w:type="spellEnd"/>
      <w:r w:rsidRPr="004C2ABC">
        <w:rPr>
          <w:rFonts w:ascii="Tahoma" w:hAnsi="Tahoma" w:cs="Tahoma"/>
        </w:rPr>
        <w:t xml:space="preserve"> e </w:t>
      </w:r>
      <w:proofErr w:type="spellStart"/>
      <w:r w:rsidRPr="004C2ABC">
        <w:rPr>
          <w:rFonts w:ascii="Tahoma" w:hAnsi="Tahoma" w:cs="Tahoma"/>
          <w:i/>
          <w:iCs/>
        </w:rPr>
        <w:t>Leapfrog</w:t>
      </w:r>
      <w:proofErr w:type="spellEnd"/>
      <w:r w:rsidRPr="004C2ABC">
        <w:rPr>
          <w:rFonts w:ascii="Tahoma" w:hAnsi="Tahoma" w:cs="Tahoma"/>
        </w:rPr>
        <w:t xml:space="preserve">, sendo que os dois primeiros foram utilizados nas etapas de pré-processamento. O desenvolvimento de construção do modelo 3D foi idealizado no </w:t>
      </w:r>
      <w:r w:rsidRPr="004C2ABC">
        <w:rPr>
          <w:rFonts w:ascii="Tahoma" w:hAnsi="Tahoma" w:cs="Tahoma"/>
          <w:i/>
          <w:iCs/>
        </w:rPr>
        <w:t>software Leapfrog</w:t>
      </w:r>
      <w:r w:rsidRPr="004C2ABC">
        <w:rPr>
          <w:rFonts w:ascii="Tahoma" w:hAnsi="Tahoma" w:cs="Tahoma"/>
        </w:rPr>
        <w:t xml:space="preserve">. O algoritmo desse </w:t>
      </w:r>
      <w:r w:rsidRPr="004C2ABC">
        <w:rPr>
          <w:rFonts w:ascii="Tahoma" w:hAnsi="Tahoma" w:cs="Tahoma"/>
          <w:i/>
          <w:iCs/>
        </w:rPr>
        <w:t>software</w:t>
      </w:r>
      <w:r w:rsidRPr="004C2ABC">
        <w:rPr>
          <w:rFonts w:ascii="Tahoma" w:hAnsi="Tahoma" w:cs="Tahoma"/>
        </w:rPr>
        <w:t xml:space="preserve"> utiliza uma função matemática de base radial conhecido como </w:t>
      </w:r>
      <w:proofErr w:type="spellStart"/>
      <w:r w:rsidRPr="004C2ABC">
        <w:rPr>
          <w:rFonts w:ascii="Tahoma" w:hAnsi="Tahoma" w:cs="Tahoma"/>
          <w:i/>
          <w:iCs/>
        </w:rPr>
        <w:t>FastRBF</w:t>
      </w:r>
      <w:r w:rsidRPr="004C2ABC">
        <w:rPr>
          <w:rFonts w:ascii="Tahoma" w:hAnsi="Tahoma" w:cs="Tahoma"/>
          <w:i/>
          <w:iCs/>
          <w:vertAlign w:val="superscript"/>
        </w:rPr>
        <w:t>TM</w:t>
      </w:r>
      <w:proofErr w:type="spellEnd"/>
      <w:r w:rsidRPr="004C2ABC">
        <w:rPr>
          <w:rFonts w:ascii="Tahoma" w:hAnsi="Tahoma" w:cs="Tahoma"/>
          <w:vertAlign w:val="superscript"/>
        </w:rPr>
        <w:t xml:space="preserve"> </w:t>
      </w:r>
      <w:r w:rsidRPr="004C2ABC">
        <w:rPr>
          <w:rFonts w:ascii="Tahoma" w:hAnsi="Tahoma" w:cs="Tahoma"/>
        </w:rPr>
        <w:t>– “</w:t>
      </w:r>
      <w:r w:rsidRPr="004C2ABC">
        <w:rPr>
          <w:rFonts w:ascii="Tahoma" w:hAnsi="Tahoma" w:cs="Tahoma"/>
          <w:i/>
          <w:iCs/>
        </w:rPr>
        <w:t xml:space="preserve">Radial </w:t>
      </w:r>
      <w:proofErr w:type="spellStart"/>
      <w:r w:rsidRPr="004C2ABC">
        <w:rPr>
          <w:rFonts w:ascii="Tahoma" w:hAnsi="Tahoma" w:cs="Tahoma"/>
          <w:i/>
          <w:iCs/>
        </w:rPr>
        <w:t>basis</w:t>
      </w:r>
      <w:proofErr w:type="spellEnd"/>
      <w:r w:rsidRPr="004C2ABC">
        <w:rPr>
          <w:rFonts w:ascii="Tahoma" w:hAnsi="Tahoma" w:cs="Tahoma"/>
          <w:i/>
          <w:iCs/>
        </w:rPr>
        <w:t xml:space="preserve"> </w:t>
      </w:r>
      <w:proofErr w:type="spellStart"/>
      <w:r w:rsidRPr="004C2ABC">
        <w:rPr>
          <w:rFonts w:ascii="Tahoma" w:hAnsi="Tahoma" w:cs="Tahoma"/>
          <w:i/>
          <w:iCs/>
        </w:rPr>
        <w:t>function</w:t>
      </w:r>
      <w:proofErr w:type="spellEnd"/>
      <w:r w:rsidRPr="004C2ABC">
        <w:rPr>
          <w:rFonts w:ascii="Tahoma" w:hAnsi="Tahoma" w:cs="Tahoma"/>
        </w:rPr>
        <w:t>”. Este algoritmo possibilita construir modelos de superfície e sólidos implicitamente, utilizando-se dados amostrados de forma regular e uniformes ou irregular não uniforme. A vantagem da ferramenta é a construção de modelos de forma rápida e com atualizações dinâmicas (Cowan et al., 2003).</w:t>
      </w:r>
    </w:p>
    <w:p w14:paraId="155B7859" w14:textId="3A676B94" w:rsidR="005E10A6" w:rsidRDefault="005E10A6" w:rsidP="005153FB">
      <w:pPr>
        <w:spacing w:line="36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Os dados de entrada podem ser categóricos e/ou numéricos, desde que estejam georreferenciados, para realização da modelagem. Através do seu caráter implícito, os modelos gerados podem ser atualizados dinamicamente conforme o </w:t>
      </w:r>
      <w:r w:rsidRPr="004C2ABC">
        <w:rPr>
          <w:rFonts w:ascii="Tahoma" w:hAnsi="Tahoma" w:cs="Tahoma"/>
          <w:i/>
          <w:iCs/>
        </w:rPr>
        <w:t>input</w:t>
      </w:r>
      <w:r w:rsidRPr="004C2ABC">
        <w:rPr>
          <w:rFonts w:ascii="Tahoma" w:hAnsi="Tahoma" w:cs="Tahoma"/>
        </w:rPr>
        <w:t xml:space="preserve"> de novos dados referentes a área do modelo. Essas atualizações podem ser </w:t>
      </w:r>
      <w:r w:rsidR="00720402" w:rsidRPr="004C2ABC">
        <w:rPr>
          <w:rFonts w:ascii="Tahoma" w:hAnsi="Tahoma" w:cs="Tahoma"/>
        </w:rPr>
        <w:t>realizadas</w:t>
      </w:r>
      <w:r w:rsidRPr="004C2ABC">
        <w:rPr>
          <w:rFonts w:ascii="Tahoma" w:hAnsi="Tahoma" w:cs="Tahoma"/>
        </w:rPr>
        <w:t xml:space="preserve"> a qualquer momento. Ele ainda permite edições pontuais, colaborando para a correção e ajustes de superfícies e sólidos desenvolvidos.</w:t>
      </w:r>
    </w:p>
    <w:p w14:paraId="6FBB3754" w14:textId="77777777" w:rsidR="004C2ABC" w:rsidRDefault="004C2ABC" w:rsidP="005153FB">
      <w:pPr>
        <w:spacing w:line="360" w:lineRule="auto"/>
        <w:jc w:val="both"/>
        <w:rPr>
          <w:rFonts w:ascii="Tahoma" w:hAnsi="Tahoma" w:cs="Tahoma"/>
        </w:rPr>
      </w:pPr>
    </w:p>
    <w:p w14:paraId="740DED4E" w14:textId="77777777" w:rsidR="002B1229" w:rsidRDefault="002B1229" w:rsidP="005153FB">
      <w:pPr>
        <w:spacing w:line="360" w:lineRule="auto"/>
        <w:jc w:val="both"/>
        <w:rPr>
          <w:rFonts w:ascii="Tahoma" w:hAnsi="Tahoma" w:cs="Tahoma"/>
        </w:rPr>
      </w:pPr>
    </w:p>
    <w:p w14:paraId="542AA705" w14:textId="77777777" w:rsidR="002B1229" w:rsidRDefault="002B1229" w:rsidP="005153FB">
      <w:pPr>
        <w:spacing w:line="360" w:lineRule="auto"/>
        <w:jc w:val="both"/>
        <w:rPr>
          <w:rFonts w:ascii="Tahoma" w:hAnsi="Tahoma" w:cs="Tahoma"/>
        </w:rPr>
      </w:pPr>
    </w:p>
    <w:p w14:paraId="4515B82E" w14:textId="77777777" w:rsidR="002B1229" w:rsidRPr="004C2ABC" w:rsidRDefault="002B1229" w:rsidP="005153FB">
      <w:pPr>
        <w:spacing w:line="360" w:lineRule="auto"/>
        <w:jc w:val="both"/>
        <w:rPr>
          <w:rFonts w:ascii="Tahoma" w:hAnsi="Tahoma" w:cs="Tahoma"/>
        </w:rPr>
      </w:pPr>
    </w:p>
    <w:p w14:paraId="2D52A686" w14:textId="0B222AE4" w:rsidR="005E10A6" w:rsidRPr="004C2ABC" w:rsidRDefault="00E72E19" w:rsidP="004C2ABC">
      <w:pPr>
        <w:pStyle w:val="Estilo3"/>
        <w:ind w:hanging="1080"/>
        <w:outlineLvl w:val="1"/>
        <w:rPr>
          <w:rFonts w:ascii="Tahoma" w:hAnsi="Tahoma" w:cs="Tahoma"/>
        </w:rPr>
      </w:pPr>
      <w:bookmarkStart w:id="3" w:name="_Toc199334604"/>
      <w:r w:rsidRPr="004C2ABC">
        <w:rPr>
          <w:rFonts w:ascii="Tahoma" w:hAnsi="Tahoma" w:cs="Tahoma"/>
        </w:rPr>
        <w:t>Pré-Processamento</w:t>
      </w:r>
      <w:bookmarkEnd w:id="3"/>
    </w:p>
    <w:p w14:paraId="31481A71" w14:textId="2B161273" w:rsidR="00720402" w:rsidRPr="004C2ABC" w:rsidRDefault="00720402" w:rsidP="004C2ABC">
      <w:pPr>
        <w:pStyle w:val="Estilo4"/>
        <w:outlineLvl w:val="2"/>
        <w:rPr>
          <w:rFonts w:ascii="Tahoma" w:hAnsi="Tahoma" w:cs="Tahoma"/>
        </w:rPr>
      </w:pPr>
      <w:bookmarkStart w:id="4" w:name="_Toc199334605"/>
      <w:r w:rsidRPr="004C2ABC">
        <w:rPr>
          <w:rFonts w:ascii="Tahoma" w:hAnsi="Tahoma" w:cs="Tahoma"/>
        </w:rPr>
        <w:t>Informações e Organização da Base de Dados para Modelagem</w:t>
      </w:r>
      <w:bookmarkEnd w:id="4"/>
    </w:p>
    <w:p w14:paraId="06CE9BEA" w14:textId="418BE1E4" w:rsidR="005E10A6" w:rsidRPr="004C2ABC" w:rsidRDefault="004C2ABC" w:rsidP="005153F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Para que se pudesse elaborar o modelo deve-se, inicialmente, realizar o levantamento de dados, atividade que foi realizada nas etapas anteriores do projeto. Dentre os dados levantados listam-se</w:t>
      </w:r>
      <w:r w:rsidR="00720402" w:rsidRPr="004C2ABC">
        <w:rPr>
          <w:rFonts w:ascii="Tahoma" w:hAnsi="Tahoma" w:cs="Tahoma"/>
        </w:rPr>
        <w:t>:</w:t>
      </w:r>
    </w:p>
    <w:p w14:paraId="6B88EC95" w14:textId="4C1E6CEC" w:rsidR="00D3764F" w:rsidRPr="004C2ABC" w:rsidRDefault="00D3764F" w:rsidP="005153FB">
      <w:pPr>
        <w:pStyle w:val="PargrafodaLista"/>
        <w:numPr>
          <w:ilvl w:val="0"/>
          <w:numId w:val="1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Dados topográficos (SRTM das folhas que compreendem a bacia | </w:t>
      </w:r>
      <w:r w:rsidR="005A73B0" w:rsidRPr="004C2ABC">
        <w:rPr>
          <w:rFonts w:ascii="Tahoma" w:hAnsi="Tahoma" w:cs="Tahoma"/>
        </w:rPr>
        <w:t>71 imagens);</w:t>
      </w:r>
    </w:p>
    <w:p w14:paraId="6F78D8F5" w14:textId="35A3E4AF" w:rsidR="00720402" w:rsidRPr="004C2ABC" w:rsidRDefault="00720402" w:rsidP="005153FB">
      <w:pPr>
        <w:pStyle w:val="PargrafodaLista"/>
        <w:numPr>
          <w:ilvl w:val="0"/>
          <w:numId w:val="1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Informações sobre a bacia de Parecis com dados da CPRM e Petrobrás;</w:t>
      </w:r>
    </w:p>
    <w:p w14:paraId="333087DD" w14:textId="35EE188B" w:rsidR="00720402" w:rsidRPr="004C2ABC" w:rsidRDefault="00720402" w:rsidP="005153FB">
      <w:pPr>
        <w:pStyle w:val="PargrafodaLista"/>
        <w:numPr>
          <w:ilvl w:val="0"/>
          <w:numId w:val="1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Informações de trabalhos acadêmico</w:t>
      </w:r>
      <w:r w:rsidR="005A73B0" w:rsidRPr="004C2ABC">
        <w:rPr>
          <w:rFonts w:ascii="Tahoma" w:hAnsi="Tahoma" w:cs="Tahoma"/>
        </w:rPr>
        <w:t>s sobre a geologia da bacia</w:t>
      </w:r>
      <w:r w:rsidRPr="004C2ABC">
        <w:rPr>
          <w:rFonts w:ascii="Tahoma" w:hAnsi="Tahoma" w:cs="Tahoma"/>
        </w:rPr>
        <w:t>;</w:t>
      </w:r>
    </w:p>
    <w:p w14:paraId="4F3DBEE3" w14:textId="3BBBBB31" w:rsidR="00720402" w:rsidRPr="004C2ABC" w:rsidRDefault="00720402" w:rsidP="005153FB">
      <w:pPr>
        <w:pStyle w:val="PargrafodaLista"/>
        <w:numPr>
          <w:ilvl w:val="0"/>
          <w:numId w:val="1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Informações de </w:t>
      </w:r>
      <w:r w:rsidR="005A73B0" w:rsidRPr="004C2ABC">
        <w:rPr>
          <w:rFonts w:ascii="Tahoma" w:hAnsi="Tahoma" w:cs="Tahoma"/>
        </w:rPr>
        <w:t>perfil de poços</w:t>
      </w:r>
      <w:r w:rsidRPr="004C2ABC">
        <w:rPr>
          <w:rFonts w:ascii="Tahoma" w:hAnsi="Tahoma" w:cs="Tahoma"/>
        </w:rPr>
        <w:t xml:space="preserve"> (poços d’água executados no estado do Mato Grosso e cadastrados no SIAGAS) e poços realizados pela Petrobras </w:t>
      </w:r>
      <w:r w:rsidRPr="004C2ABC">
        <w:rPr>
          <w:rFonts w:ascii="Tahoma" w:hAnsi="Tahoma" w:cs="Tahoma"/>
        </w:rPr>
        <w:lastRenderedPageBreak/>
        <w:t>(dados da AN</w:t>
      </w:r>
      <w:r w:rsidR="00D3764F" w:rsidRPr="004C2ABC">
        <w:rPr>
          <w:rFonts w:ascii="Tahoma" w:hAnsi="Tahoma" w:cs="Tahoma"/>
        </w:rPr>
        <w:t>P)</w:t>
      </w:r>
      <w:r w:rsidR="003629D4">
        <w:rPr>
          <w:rFonts w:ascii="Tahoma" w:hAnsi="Tahoma" w:cs="Tahoma"/>
        </w:rPr>
        <w:t>, sendo que estes últimos ainda estão sendo inseridos no modelo</w:t>
      </w:r>
      <w:r w:rsidRPr="004C2ABC">
        <w:rPr>
          <w:rFonts w:ascii="Tahoma" w:hAnsi="Tahoma" w:cs="Tahoma"/>
        </w:rPr>
        <w:t>.</w:t>
      </w:r>
    </w:p>
    <w:p w14:paraId="71CC2C90" w14:textId="77777777" w:rsidR="003629D4" w:rsidRDefault="003629D4" w:rsidP="005153FB">
      <w:pPr>
        <w:jc w:val="both"/>
        <w:rPr>
          <w:rFonts w:ascii="Tahoma" w:hAnsi="Tahoma" w:cs="Tahoma"/>
        </w:rPr>
      </w:pPr>
    </w:p>
    <w:p w14:paraId="54966E8F" w14:textId="67D1C280" w:rsidR="00720402" w:rsidRPr="004C2ABC" w:rsidRDefault="003629D4" w:rsidP="005153F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Posteriormente, realiza-se a organização dos considerando as seguintes etapas</w:t>
      </w:r>
      <w:r w:rsidR="00137EDF" w:rsidRPr="004C2ABC">
        <w:rPr>
          <w:rFonts w:ascii="Tahoma" w:hAnsi="Tahoma" w:cs="Tahoma"/>
        </w:rPr>
        <w:t>:</w:t>
      </w:r>
    </w:p>
    <w:p w14:paraId="1A189FD2" w14:textId="73D6031F" w:rsidR="00137EDF" w:rsidRPr="004C2ABC" w:rsidRDefault="00137EDF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Transposição </w:t>
      </w:r>
      <w:r w:rsidR="00692691" w:rsidRPr="004C2ABC">
        <w:rPr>
          <w:rFonts w:ascii="Tahoma" w:hAnsi="Tahoma" w:cs="Tahoma"/>
        </w:rPr>
        <w:t>e georreferenciamento d</w:t>
      </w:r>
      <w:r w:rsidR="001E2E7C" w:rsidRPr="004C2ABC">
        <w:rPr>
          <w:rFonts w:ascii="Tahoma" w:hAnsi="Tahoma" w:cs="Tahoma"/>
        </w:rPr>
        <w:t xml:space="preserve">os dados topográficos do SRTM para coordenadas UTM e </w:t>
      </w:r>
      <w:proofErr w:type="spellStart"/>
      <w:r w:rsidR="001E2E7C" w:rsidRPr="004C2ABC">
        <w:rPr>
          <w:rFonts w:ascii="Tahoma" w:hAnsi="Tahoma" w:cs="Tahoma"/>
        </w:rPr>
        <w:t>datum</w:t>
      </w:r>
      <w:proofErr w:type="spellEnd"/>
      <w:r w:rsidR="001E2E7C" w:rsidRPr="004C2ABC">
        <w:rPr>
          <w:rFonts w:ascii="Tahoma" w:hAnsi="Tahoma" w:cs="Tahoma"/>
        </w:rPr>
        <w:t>;</w:t>
      </w:r>
    </w:p>
    <w:p w14:paraId="3B0943CF" w14:textId="1F09B77C" w:rsidR="001E2E7C" w:rsidRPr="004C2ABC" w:rsidRDefault="001E2E7C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Geração de nuvem de pontos para unificação das bases topográficas</w:t>
      </w:r>
      <w:r w:rsidR="00A25505" w:rsidRPr="004C2ABC">
        <w:rPr>
          <w:rFonts w:ascii="Tahoma" w:hAnsi="Tahoma" w:cs="Tahoma"/>
        </w:rPr>
        <w:t xml:space="preserve"> (71 imagens SRTM)</w:t>
      </w:r>
      <w:r w:rsidRPr="004C2ABC">
        <w:rPr>
          <w:rFonts w:ascii="Tahoma" w:hAnsi="Tahoma" w:cs="Tahoma"/>
        </w:rPr>
        <w:t xml:space="preserve"> em uma única su</w:t>
      </w:r>
      <w:r w:rsidR="00A25505" w:rsidRPr="004C2ABC">
        <w:rPr>
          <w:rFonts w:ascii="Tahoma" w:hAnsi="Tahoma" w:cs="Tahoma"/>
        </w:rPr>
        <w:t>perfície topográfica;</w:t>
      </w:r>
    </w:p>
    <w:p w14:paraId="2DB03FF1" w14:textId="781DE35E" w:rsidR="00A25505" w:rsidRPr="004C2ABC" w:rsidRDefault="00A25505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Geração de superfície topográfica </w:t>
      </w:r>
      <w:r w:rsidR="00A86C89" w:rsidRPr="004C2ABC">
        <w:rPr>
          <w:rFonts w:ascii="Tahoma" w:hAnsi="Tahoma" w:cs="Tahoma"/>
        </w:rPr>
        <w:t>da área da bacia</w:t>
      </w:r>
      <w:r w:rsidR="009C7FC5" w:rsidRPr="004C2ABC">
        <w:rPr>
          <w:rFonts w:ascii="Tahoma" w:hAnsi="Tahoma" w:cs="Tahoma"/>
        </w:rPr>
        <w:t>;</w:t>
      </w:r>
    </w:p>
    <w:p w14:paraId="359CCEF2" w14:textId="500FC022" w:rsidR="009C7FC5" w:rsidRPr="004C2ABC" w:rsidRDefault="006B4D96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Utilização de informações geológica estruturais regionais para geração do arcabouço </w:t>
      </w:r>
      <w:r w:rsidR="006808A4" w:rsidRPr="004C2ABC">
        <w:rPr>
          <w:rFonts w:ascii="Tahoma" w:hAnsi="Tahoma" w:cs="Tahoma"/>
        </w:rPr>
        <w:t>morfoestrutural da bacia;</w:t>
      </w:r>
    </w:p>
    <w:p w14:paraId="5627648B" w14:textId="0C52D059" w:rsidR="006808A4" w:rsidRPr="004C2ABC" w:rsidRDefault="006808A4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Validação do arcabouço com dados geofísicos regionais e disponíveis da literatura;</w:t>
      </w:r>
    </w:p>
    <w:p w14:paraId="5391D497" w14:textId="5719DB48" w:rsidR="006808A4" w:rsidRPr="004C2ABC" w:rsidRDefault="000A4841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Uniformização da base de dados de </w:t>
      </w:r>
      <w:r w:rsidR="00BF500A" w:rsidRPr="004C2ABC">
        <w:rPr>
          <w:rFonts w:ascii="Tahoma" w:hAnsi="Tahoma" w:cs="Tahoma"/>
        </w:rPr>
        <w:t xml:space="preserve">poços com a </w:t>
      </w:r>
      <w:r w:rsidRPr="004C2ABC">
        <w:rPr>
          <w:rFonts w:ascii="Tahoma" w:hAnsi="Tahoma" w:cs="Tahoma"/>
        </w:rPr>
        <w:t>cria</w:t>
      </w:r>
      <w:r w:rsidR="00BF500A" w:rsidRPr="004C2ABC">
        <w:rPr>
          <w:rFonts w:ascii="Tahoma" w:hAnsi="Tahoma" w:cs="Tahoma"/>
        </w:rPr>
        <w:t xml:space="preserve">ção de BD </w:t>
      </w:r>
      <w:r w:rsidRPr="004C2ABC">
        <w:rPr>
          <w:rFonts w:ascii="Tahoma" w:hAnsi="Tahoma" w:cs="Tahoma"/>
        </w:rPr>
        <w:t>(</w:t>
      </w:r>
      <w:r w:rsidRPr="004C2ABC">
        <w:rPr>
          <w:rFonts w:ascii="Tahoma" w:hAnsi="Tahoma" w:cs="Tahoma"/>
          <w:i/>
          <w:iCs/>
        </w:rPr>
        <w:t>Collar</w:t>
      </w:r>
      <w:r w:rsidRPr="004C2ABC">
        <w:rPr>
          <w:rFonts w:ascii="Tahoma" w:hAnsi="Tahoma" w:cs="Tahoma"/>
        </w:rPr>
        <w:t>/</w:t>
      </w:r>
      <w:r w:rsidRPr="004C2ABC">
        <w:rPr>
          <w:rFonts w:ascii="Tahoma" w:hAnsi="Tahoma" w:cs="Tahoma"/>
          <w:i/>
          <w:iCs/>
        </w:rPr>
        <w:t>Survey</w:t>
      </w:r>
      <w:r w:rsidRPr="004C2ABC">
        <w:rPr>
          <w:rFonts w:ascii="Tahoma" w:hAnsi="Tahoma" w:cs="Tahoma"/>
        </w:rPr>
        <w:t>/</w:t>
      </w:r>
      <w:r w:rsidR="00C27AA4" w:rsidRPr="004C2ABC">
        <w:rPr>
          <w:rFonts w:ascii="Tahoma" w:hAnsi="Tahoma" w:cs="Tahoma"/>
        </w:rPr>
        <w:t>Perfil</w:t>
      </w:r>
      <w:r w:rsidRPr="004C2ABC">
        <w:rPr>
          <w:rFonts w:ascii="Tahoma" w:hAnsi="Tahoma" w:cs="Tahoma"/>
        </w:rPr>
        <w:t>) em formato “CSV”, contemplando os dados categóricos</w:t>
      </w:r>
      <w:r w:rsidR="005153FB" w:rsidRPr="004C2ABC">
        <w:rPr>
          <w:rFonts w:ascii="Tahoma" w:hAnsi="Tahoma" w:cs="Tahoma"/>
        </w:rPr>
        <w:t xml:space="preserve"> de litologia e descrição do perfil;</w:t>
      </w:r>
      <w:r w:rsidR="003629D4">
        <w:rPr>
          <w:rFonts w:ascii="Tahoma" w:hAnsi="Tahoma" w:cs="Tahoma"/>
        </w:rPr>
        <w:t xml:space="preserve"> e</w:t>
      </w:r>
    </w:p>
    <w:p w14:paraId="2945846F" w14:textId="41047FCA" w:rsidR="005153FB" w:rsidRDefault="005E0CC1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Definição do limite do modelo, baseando-se no limite da bacia.</w:t>
      </w:r>
    </w:p>
    <w:p w14:paraId="3638AF17" w14:textId="77777777" w:rsidR="004C2ABC" w:rsidRPr="004C2ABC" w:rsidRDefault="004C2ABC" w:rsidP="004C2ABC">
      <w:pPr>
        <w:jc w:val="both"/>
        <w:rPr>
          <w:rFonts w:ascii="Tahoma" w:hAnsi="Tahoma" w:cs="Tahoma"/>
        </w:rPr>
      </w:pPr>
    </w:p>
    <w:p w14:paraId="01E2E082" w14:textId="3B974495" w:rsidR="005E0CC1" w:rsidRPr="004C2ABC" w:rsidRDefault="00947712" w:rsidP="004C2ABC">
      <w:pPr>
        <w:pStyle w:val="Estilo3"/>
        <w:ind w:hanging="1080"/>
        <w:outlineLvl w:val="1"/>
        <w:rPr>
          <w:rFonts w:ascii="Tahoma" w:hAnsi="Tahoma" w:cs="Tahoma"/>
        </w:rPr>
      </w:pPr>
      <w:bookmarkStart w:id="5" w:name="_Toc199334606"/>
      <w:r w:rsidRPr="004C2ABC">
        <w:rPr>
          <w:rFonts w:ascii="Tahoma" w:hAnsi="Tahoma" w:cs="Tahoma"/>
        </w:rPr>
        <w:t>Desenvolvimento do Modelo</w:t>
      </w:r>
      <w:bookmarkEnd w:id="5"/>
    </w:p>
    <w:p w14:paraId="513F9FDD" w14:textId="76DCFB57" w:rsidR="000677E6" w:rsidRDefault="0021357D" w:rsidP="0021357D">
      <w:pPr>
        <w:spacing w:line="36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O modelo foi desenvolvido implicitamente, considerando os dados categóricos de </w:t>
      </w:r>
      <w:r w:rsidR="008F52BD" w:rsidRPr="004C2ABC">
        <w:rPr>
          <w:rFonts w:ascii="Tahoma" w:hAnsi="Tahoma" w:cs="Tahoma"/>
        </w:rPr>
        <w:t xml:space="preserve">macro litologias (estratigrafia das unidades) baseando-se principalmente </w:t>
      </w:r>
      <w:r w:rsidR="00D371D2" w:rsidRPr="004C2ABC">
        <w:rPr>
          <w:rFonts w:ascii="Tahoma" w:hAnsi="Tahoma" w:cs="Tahoma"/>
        </w:rPr>
        <w:t xml:space="preserve">na hierarquia de informação, </w:t>
      </w:r>
      <w:r w:rsidR="003629D4">
        <w:rPr>
          <w:rFonts w:ascii="Tahoma" w:hAnsi="Tahoma" w:cs="Tahoma"/>
        </w:rPr>
        <w:t xml:space="preserve">considerando informações obtidas em </w:t>
      </w:r>
      <w:r w:rsidR="008F52BD" w:rsidRPr="004C2ABC">
        <w:rPr>
          <w:rFonts w:ascii="Tahoma" w:hAnsi="Tahoma" w:cs="Tahoma"/>
        </w:rPr>
        <w:t>mapas regionais, seções geológicas</w:t>
      </w:r>
      <w:r w:rsidR="008029E3" w:rsidRPr="004C2ABC">
        <w:rPr>
          <w:rFonts w:ascii="Tahoma" w:hAnsi="Tahoma" w:cs="Tahoma"/>
        </w:rPr>
        <w:t>, dados geofísicos e perfis de poço</w:t>
      </w:r>
      <w:r w:rsidR="003629D4">
        <w:rPr>
          <w:rFonts w:ascii="Tahoma" w:hAnsi="Tahoma" w:cs="Tahoma"/>
        </w:rPr>
        <w:t xml:space="preserve"> de outros estudos, bem como na base de dados de poços cadastrada a tratada nas etapas anteriores</w:t>
      </w:r>
      <w:r w:rsidRPr="004C2ABC">
        <w:rPr>
          <w:rFonts w:ascii="Tahoma" w:hAnsi="Tahoma" w:cs="Tahoma"/>
        </w:rPr>
        <w:t>. Para a geração efetivamente dos sólidos, houve uma etapa que envolve</w:t>
      </w:r>
      <w:r w:rsidR="003629D4">
        <w:rPr>
          <w:rFonts w:ascii="Tahoma" w:hAnsi="Tahoma" w:cs="Tahoma"/>
        </w:rPr>
        <w:t>u a</w:t>
      </w:r>
      <w:r w:rsidRPr="004C2ABC">
        <w:rPr>
          <w:rFonts w:ascii="Tahoma" w:hAnsi="Tahoma" w:cs="Tahoma"/>
        </w:rPr>
        <w:t xml:space="preserve"> organização dos </w:t>
      </w:r>
      <w:r w:rsidRPr="004C2ABC">
        <w:rPr>
          <w:rFonts w:ascii="Tahoma" w:hAnsi="Tahoma" w:cs="Tahoma"/>
          <w:i/>
          <w:iCs/>
        </w:rPr>
        <w:t>inputs</w:t>
      </w:r>
      <w:r w:rsidRPr="004C2ABC">
        <w:rPr>
          <w:rFonts w:ascii="Tahoma" w:hAnsi="Tahoma" w:cs="Tahoma"/>
        </w:rPr>
        <w:t xml:space="preserve"> em ambiente 3D, parametrizações pertinentes e posterior trabalho com o desenvolvimento das superfícies</w:t>
      </w:r>
      <w:r w:rsidR="00ED3934" w:rsidRPr="004C2ABC">
        <w:rPr>
          <w:rFonts w:ascii="Tahoma" w:hAnsi="Tahoma" w:cs="Tahoma"/>
        </w:rPr>
        <w:t xml:space="preserve"> geológicas e estruturais</w:t>
      </w:r>
      <w:r w:rsidRPr="004C2ABC">
        <w:rPr>
          <w:rFonts w:ascii="Tahoma" w:hAnsi="Tahoma" w:cs="Tahoma"/>
        </w:rPr>
        <w:t>.</w:t>
      </w:r>
    </w:p>
    <w:p w14:paraId="0E3D3528" w14:textId="0D1872A7" w:rsidR="003629D4" w:rsidRPr="004C2ABC" w:rsidRDefault="003629D4" w:rsidP="0021357D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 seguir apresentam-se imagens representando as diversas etapas de elaboração do modelo.</w:t>
      </w:r>
    </w:p>
    <w:p w14:paraId="3E3288F7" w14:textId="2405D620" w:rsidR="000F66CE" w:rsidRPr="004C2ABC" w:rsidRDefault="000F66CE" w:rsidP="00CB7CC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Definição do limite do modelo e bacia</w:t>
      </w:r>
    </w:p>
    <w:p w14:paraId="33EC85DF" w14:textId="77777777" w:rsidR="009B0989" w:rsidRPr="004C2ABC" w:rsidRDefault="009B0989" w:rsidP="00891E37">
      <w:pPr>
        <w:keepNext/>
        <w:spacing w:after="0" w:line="240" w:lineRule="auto"/>
        <w:ind w:left="360"/>
        <w:jc w:val="center"/>
        <w:rPr>
          <w:rFonts w:ascii="Tahoma" w:hAnsi="Tahoma" w:cs="Tahoma"/>
        </w:rPr>
      </w:pPr>
      <w:r w:rsidRPr="004C2ABC">
        <w:rPr>
          <w:rFonts w:ascii="Tahoma" w:hAnsi="Tahoma" w:cs="Tahoma"/>
          <w:noProof/>
        </w:rPr>
        <w:lastRenderedPageBreak/>
        <w:drawing>
          <wp:inline distT="0" distB="0" distL="0" distR="0" wp14:anchorId="0B2581D4" wp14:editId="4824AFF6">
            <wp:extent cx="5400040" cy="2307590"/>
            <wp:effectExtent l="0" t="0" r="0" b="0"/>
            <wp:docPr id="782151099" name="Imagem 1" descr="Mapa com linhas pretas em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51099" name="Imagem 1" descr="Mapa com linhas pretas em fundo branc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08C4" w14:textId="1ECE560D" w:rsidR="009B0989" w:rsidRDefault="009B0989" w:rsidP="004C2ABC">
      <w:pPr>
        <w:spacing w:after="0" w:line="240" w:lineRule="auto"/>
        <w:jc w:val="center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Figura </w:t>
      </w:r>
      <w:r w:rsidRPr="004C2ABC">
        <w:rPr>
          <w:rFonts w:ascii="Tahoma" w:hAnsi="Tahoma" w:cs="Tahoma"/>
        </w:rPr>
        <w:fldChar w:fldCharType="begin"/>
      </w:r>
      <w:r w:rsidRPr="004C2ABC">
        <w:rPr>
          <w:rFonts w:ascii="Tahoma" w:hAnsi="Tahoma" w:cs="Tahoma"/>
        </w:rPr>
        <w:instrText xml:space="preserve"> SEQ Figura \* ARABIC </w:instrText>
      </w:r>
      <w:r w:rsidRPr="004C2ABC">
        <w:rPr>
          <w:rFonts w:ascii="Tahoma" w:hAnsi="Tahoma" w:cs="Tahoma"/>
        </w:rPr>
        <w:fldChar w:fldCharType="separate"/>
      </w:r>
      <w:r w:rsidRPr="004C2ABC">
        <w:rPr>
          <w:rFonts w:ascii="Tahoma" w:hAnsi="Tahoma" w:cs="Tahoma"/>
        </w:rPr>
        <w:t>1</w:t>
      </w:r>
      <w:r w:rsidRPr="004C2ABC">
        <w:rPr>
          <w:rFonts w:ascii="Tahoma" w:hAnsi="Tahoma" w:cs="Tahoma"/>
        </w:rPr>
        <w:fldChar w:fldCharType="end"/>
      </w:r>
      <w:r w:rsidRPr="004C2ABC">
        <w:rPr>
          <w:rFonts w:ascii="Tahoma" w:hAnsi="Tahoma" w:cs="Tahoma"/>
        </w:rPr>
        <w:t xml:space="preserve"> - Limite da Bacia e caixa do modelo 3D.</w:t>
      </w:r>
    </w:p>
    <w:p w14:paraId="73375730" w14:textId="77777777" w:rsidR="003629D4" w:rsidRDefault="003629D4" w:rsidP="004C2ABC">
      <w:pPr>
        <w:spacing w:after="0" w:line="240" w:lineRule="auto"/>
        <w:jc w:val="center"/>
        <w:rPr>
          <w:rFonts w:ascii="Tahoma" w:hAnsi="Tahoma" w:cs="Tahoma"/>
        </w:rPr>
      </w:pPr>
    </w:p>
    <w:p w14:paraId="2BA8FEBD" w14:textId="77777777" w:rsidR="003629D4" w:rsidRPr="004C2ABC" w:rsidRDefault="003629D4" w:rsidP="004C2ABC">
      <w:pPr>
        <w:spacing w:after="0" w:line="240" w:lineRule="auto"/>
        <w:jc w:val="center"/>
        <w:rPr>
          <w:rFonts w:ascii="Tahoma" w:hAnsi="Tahoma" w:cs="Tahoma"/>
        </w:rPr>
      </w:pPr>
    </w:p>
    <w:p w14:paraId="2B0EE53E" w14:textId="07F83C67" w:rsidR="009B0989" w:rsidRPr="004C2ABC" w:rsidRDefault="00E237A9" w:rsidP="00891E37">
      <w:pPr>
        <w:spacing w:after="0" w:line="240" w:lineRule="auto"/>
        <w:ind w:left="360"/>
        <w:jc w:val="both"/>
        <w:rPr>
          <w:rFonts w:ascii="Tahoma" w:hAnsi="Tahoma" w:cs="Tahoma"/>
        </w:rPr>
      </w:pPr>
      <w:r w:rsidRPr="004C2ABC">
        <w:rPr>
          <w:rFonts w:ascii="Tahoma" w:hAnsi="Tahoma" w:cs="Tahoma"/>
          <w:noProof/>
        </w:rPr>
        <w:drawing>
          <wp:inline distT="0" distB="0" distL="0" distR="0" wp14:anchorId="5931E574" wp14:editId="20906E4E">
            <wp:extent cx="5400040" cy="2283460"/>
            <wp:effectExtent l="0" t="0" r="0" b="2540"/>
            <wp:docPr id="553426602" name="Imagem 1" descr="Imagem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26602" name="Imagem 1" descr="Imagem de jogo de vídeo game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AEFE" w14:textId="7941C313" w:rsidR="00E237A9" w:rsidRPr="004C2ABC" w:rsidRDefault="00E237A9" w:rsidP="004C2ABC">
      <w:pPr>
        <w:spacing w:after="0" w:line="240" w:lineRule="auto"/>
        <w:jc w:val="center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Figura </w:t>
      </w:r>
      <w:r w:rsidRPr="004C2ABC">
        <w:rPr>
          <w:rFonts w:ascii="Tahoma" w:hAnsi="Tahoma" w:cs="Tahoma"/>
        </w:rPr>
        <w:fldChar w:fldCharType="begin"/>
      </w:r>
      <w:r w:rsidRPr="004C2ABC">
        <w:rPr>
          <w:rFonts w:ascii="Tahoma" w:hAnsi="Tahoma" w:cs="Tahoma"/>
        </w:rPr>
        <w:instrText xml:space="preserve"> SEQ Figura \* ARABIC </w:instrText>
      </w:r>
      <w:r w:rsidRPr="004C2ABC">
        <w:rPr>
          <w:rFonts w:ascii="Tahoma" w:hAnsi="Tahoma" w:cs="Tahoma"/>
        </w:rPr>
        <w:fldChar w:fldCharType="separate"/>
      </w:r>
      <w:r w:rsidRPr="004C2ABC">
        <w:rPr>
          <w:rFonts w:ascii="Tahoma" w:hAnsi="Tahoma" w:cs="Tahoma"/>
        </w:rPr>
        <w:t>2</w:t>
      </w:r>
      <w:r w:rsidRPr="004C2ABC">
        <w:rPr>
          <w:rFonts w:ascii="Tahoma" w:hAnsi="Tahoma" w:cs="Tahoma"/>
        </w:rPr>
        <w:fldChar w:fldCharType="end"/>
      </w:r>
      <w:r w:rsidRPr="004C2ABC">
        <w:rPr>
          <w:rFonts w:ascii="Tahoma" w:hAnsi="Tahoma" w:cs="Tahoma"/>
        </w:rPr>
        <w:t xml:space="preserve"> – Limitação do </w:t>
      </w:r>
      <w:proofErr w:type="spellStart"/>
      <w:r w:rsidRPr="003629D4">
        <w:rPr>
          <w:rFonts w:ascii="Tahoma" w:hAnsi="Tahoma" w:cs="Tahoma"/>
          <w:i/>
          <w:iCs/>
        </w:rPr>
        <w:t>bou</w:t>
      </w:r>
      <w:r w:rsidR="00C02A55" w:rsidRPr="003629D4">
        <w:rPr>
          <w:rFonts w:ascii="Tahoma" w:hAnsi="Tahoma" w:cs="Tahoma"/>
          <w:i/>
          <w:iCs/>
        </w:rPr>
        <w:t>n</w:t>
      </w:r>
      <w:r w:rsidRPr="003629D4">
        <w:rPr>
          <w:rFonts w:ascii="Tahoma" w:hAnsi="Tahoma" w:cs="Tahoma"/>
          <w:i/>
          <w:iCs/>
        </w:rPr>
        <w:t>dary</w:t>
      </w:r>
      <w:proofErr w:type="spellEnd"/>
      <w:r w:rsidRPr="004C2ABC">
        <w:rPr>
          <w:rFonts w:ascii="Tahoma" w:hAnsi="Tahoma" w:cs="Tahoma"/>
        </w:rPr>
        <w:t xml:space="preserve"> </w:t>
      </w:r>
      <w:r w:rsidR="00C02A55" w:rsidRPr="004C2ABC">
        <w:rPr>
          <w:rFonts w:ascii="Tahoma" w:hAnsi="Tahoma" w:cs="Tahoma"/>
        </w:rPr>
        <w:t xml:space="preserve">do </w:t>
      </w:r>
      <w:r w:rsidRPr="004C2ABC">
        <w:rPr>
          <w:rFonts w:ascii="Tahoma" w:hAnsi="Tahoma" w:cs="Tahoma"/>
        </w:rPr>
        <w:t>modelo 3D</w:t>
      </w:r>
      <w:r w:rsidR="00C02A55" w:rsidRPr="004C2ABC">
        <w:rPr>
          <w:rFonts w:ascii="Tahoma" w:hAnsi="Tahoma" w:cs="Tahoma"/>
        </w:rPr>
        <w:t xml:space="preserve"> com base na caixa do modelo, topografia e </w:t>
      </w:r>
      <w:r w:rsidR="008E3FBB" w:rsidRPr="004C2ABC">
        <w:rPr>
          <w:rFonts w:ascii="Tahoma" w:hAnsi="Tahoma" w:cs="Tahoma"/>
        </w:rPr>
        <w:t>limite da bacia</w:t>
      </w:r>
      <w:r w:rsidRPr="004C2ABC">
        <w:rPr>
          <w:rFonts w:ascii="Tahoma" w:hAnsi="Tahoma" w:cs="Tahoma"/>
        </w:rPr>
        <w:t>.</w:t>
      </w:r>
    </w:p>
    <w:p w14:paraId="6F6EBD79" w14:textId="77777777" w:rsidR="00E237A9" w:rsidRPr="004C2ABC" w:rsidRDefault="00E237A9" w:rsidP="009B0989">
      <w:pPr>
        <w:spacing w:line="360" w:lineRule="auto"/>
        <w:ind w:left="360"/>
        <w:jc w:val="both"/>
        <w:rPr>
          <w:rFonts w:ascii="Tahoma" w:hAnsi="Tahoma" w:cs="Tahoma"/>
        </w:rPr>
      </w:pPr>
    </w:p>
    <w:p w14:paraId="22F208C0" w14:textId="77777777" w:rsidR="003629D4" w:rsidRDefault="003629D4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79E0960B" w14:textId="2F5AFEFC" w:rsidR="00CB7CC7" w:rsidRPr="004C2ABC" w:rsidRDefault="00CB7CC7" w:rsidP="000F66C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lastRenderedPageBreak/>
        <w:t xml:space="preserve">Geração </w:t>
      </w:r>
      <w:r w:rsidR="006219B5" w:rsidRPr="004C2ABC">
        <w:rPr>
          <w:rFonts w:ascii="Tahoma" w:hAnsi="Tahoma" w:cs="Tahoma"/>
        </w:rPr>
        <w:t>das Falhas regionais e bacia padrão rift com hosts e grabens</w:t>
      </w:r>
      <w:r w:rsidR="003629D4">
        <w:rPr>
          <w:rFonts w:ascii="Tahoma" w:hAnsi="Tahoma" w:cs="Tahoma"/>
        </w:rPr>
        <w:t xml:space="preserve"> a partir de dados da bibliografia</w:t>
      </w:r>
    </w:p>
    <w:p w14:paraId="6A6DF9CD" w14:textId="7B7FD90F" w:rsidR="009B0989" w:rsidRPr="004C2ABC" w:rsidRDefault="004B114F" w:rsidP="004C2ABC">
      <w:pPr>
        <w:spacing w:after="0" w:line="240" w:lineRule="auto"/>
        <w:jc w:val="center"/>
        <w:rPr>
          <w:rFonts w:ascii="Tahoma" w:hAnsi="Tahoma" w:cs="Tahoma"/>
        </w:rPr>
      </w:pPr>
      <w:r w:rsidRPr="004C2ABC">
        <w:rPr>
          <w:rFonts w:ascii="Tahoma" w:hAnsi="Tahoma" w:cs="Tahoma"/>
          <w:noProof/>
        </w:rPr>
        <w:drawing>
          <wp:inline distT="0" distB="0" distL="0" distR="0" wp14:anchorId="72B7067D" wp14:editId="2F315744">
            <wp:extent cx="5256000" cy="3998864"/>
            <wp:effectExtent l="0" t="0" r="1905" b="1905"/>
            <wp:docPr id="641531744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31744" name="Imagem 1" descr="Diagrama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9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0CC7" w14:textId="64AD7548" w:rsidR="004B114F" w:rsidRPr="004C2ABC" w:rsidRDefault="004B114F" w:rsidP="004C2ABC">
      <w:pPr>
        <w:spacing w:after="0" w:line="240" w:lineRule="auto"/>
        <w:jc w:val="center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Figura </w:t>
      </w:r>
      <w:r w:rsidRPr="004C2ABC">
        <w:rPr>
          <w:rFonts w:ascii="Tahoma" w:hAnsi="Tahoma" w:cs="Tahoma"/>
        </w:rPr>
        <w:fldChar w:fldCharType="begin"/>
      </w:r>
      <w:r w:rsidRPr="004C2ABC">
        <w:rPr>
          <w:rFonts w:ascii="Tahoma" w:hAnsi="Tahoma" w:cs="Tahoma"/>
        </w:rPr>
        <w:instrText xml:space="preserve"> SEQ Figura \* ARABIC </w:instrText>
      </w:r>
      <w:r w:rsidRPr="004C2ABC">
        <w:rPr>
          <w:rFonts w:ascii="Tahoma" w:hAnsi="Tahoma" w:cs="Tahoma"/>
        </w:rPr>
        <w:fldChar w:fldCharType="separate"/>
      </w:r>
      <w:r w:rsidRPr="004C2ABC">
        <w:rPr>
          <w:rFonts w:ascii="Tahoma" w:hAnsi="Tahoma" w:cs="Tahoma"/>
        </w:rPr>
        <w:t>3</w:t>
      </w:r>
      <w:r w:rsidRPr="004C2ABC">
        <w:rPr>
          <w:rFonts w:ascii="Tahoma" w:hAnsi="Tahoma" w:cs="Tahoma"/>
        </w:rPr>
        <w:fldChar w:fldCharType="end"/>
      </w:r>
      <w:r w:rsidRPr="004C2ABC">
        <w:rPr>
          <w:rFonts w:ascii="Tahoma" w:hAnsi="Tahoma" w:cs="Tahoma"/>
        </w:rPr>
        <w:t xml:space="preserve"> – </w:t>
      </w:r>
      <w:r w:rsidR="00EA4852" w:rsidRPr="004C2ABC">
        <w:rPr>
          <w:rFonts w:ascii="Tahoma" w:hAnsi="Tahoma" w:cs="Tahoma"/>
        </w:rPr>
        <w:t>Falhas geológicas regionais.</w:t>
      </w:r>
    </w:p>
    <w:p w14:paraId="67A72CF6" w14:textId="77777777" w:rsidR="00BF2B7C" w:rsidRPr="003629D4" w:rsidRDefault="00BF2B7C" w:rsidP="003629D4">
      <w:pPr>
        <w:spacing w:line="360" w:lineRule="auto"/>
        <w:jc w:val="both"/>
        <w:rPr>
          <w:rFonts w:ascii="Tahoma" w:hAnsi="Tahoma" w:cs="Tahoma"/>
        </w:rPr>
      </w:pPr>
    </w:p>
    <w:p w14:paraId="0B74313E" w14:textId="40AFC6BC" w:rsidR="006219B5" w:rsidRPr="004C2ABC" w:rsidRDefault="000311E8" w:rsidP="00CB7CC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Delimitação da bacia com os altos do embasamento e grabens</w:t>
      </w:r>
      <w:r w:rsidR="003629D4">
        <w:rPr>
          <w:rFonts w:ascii="Tahoma" w:hAnsi="Tahoma" w:cs="Tahoma"/>
        </w:rPr>
        <w:t>, a partir de dados da bibliografia</w:t>
      </w:r>
    </w:p>
    <w:p w14:paraId="5C11565C" w14:textId="77EFD3D4" w:rsidR="00EA4852" w:rsidRPr="004C2ABC" w:rsidRDefault="00546D17" w:rsidP="00EA4852">
      <w:pPr>
        <w:spacing w:line="36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  <w:noProof/>
        </w:rPr>
        <w:drawing>
          <wp:inline distT="0" distB="0" distL="0" distR="0" wp14:anchorId="469E6014" wp14:editId="36D14A5D">
            <wp:extent cx="5400040" cy="2625090"/>
            <wp:effectExtent l="0" t="0" r="0" b="3810"/>
            <wp:docPr id="853591292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91292" name="Imagem 1" descr="Diagrama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2D89" w14:textId="626D9420" w:rsidR="00BF2B7C" w:rsidRPr="004C2ABC" w:rsidRDefault="00BF2B7C" w:rsidP="004C2ABC">
      <w:pPr>
        <w:spacing w:after="0" w:line="240" w:lineRule="auto"/>
        <w:jc w:val="center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Figura </w:t>
      </w:r>
      <w:r w:rsidRPr="004C2ABC">
        <w:rPr>
          <w:rFonts w:ascii="Tahoma" w:hAnsi="Tahoma" w:cs="Tahoma"/>
        </w:rPr>
        <w:fldChar w:fldCharType="begin"/>
      </w:r>
      <w:r w:rsidRPr="004C2ABC">
        <w:rPr>
          <w:rFonts w:ascii="Tahoma" w:hAnsi="Tahoma" w:cs="Tahoma"/>
        </w:rPr>
        <w:instrText xml:space="preserve"> SEQ Figura \* ARABIC </w:instrText>
      </w:r>
      <w:r w:rsidRPr="004C2ABC">
        <w:rPr>
          <w:rFonts w:ascii="Tahoma" w:hAnsi="Tahoma" w:cs="Tahoma"/>
        </w:rPr>
        <w:fldChar w:fldCharType="separate"/>
      </w:r>
      <w:r w:rsidRPr="004C2ABC">
        <w:rPr>
          <w:rFonts w:ascii="Tahoma" w:hAnsi="Tahoma" w:cs="Tahoma"/>
        </w:rPr>
        <w:t>4</w:t>
      </w:r>
      <w:r w:rsidRPr="004C2ABC">
        <w:rPr>
          <w:rFonts w:ascii="Tahoma" w:hAnsi="Tahoma" w:cs="Tahoma"/>
        </w:rPr>
        <w:fldChar w:fldCharType="end"/>
      </w:r>
      <w:r w:rsidRPr="004C2ABC">
        <w:rPr>
          <w:rFonts w:ascii="Tahoma" w:hAnsi="Tahoma" w:cs="Tahoma"/>
        </w:rPr>
        <w:t xml:space="preserve"> – </w:t>
      </w:r>
      <w:r w:rsidR="00891E37" w:rsidRPr="004C2ABC">
        <w:rPr>
          <w:rFonts w:ascii="Tahoma" w:hAnsi="Tahoma" w:cs="Tahoma"/>
        </w:rPr>
        <w:t>Arcabouço estrutural da bacia</w:t>
      </w:r>
      <w:r w:rsidRPr="004C2ABC">
        <w:rPr>
          <w:rFonts w:ascii="Tahoma" w:hAnsi="Tahoma" w:cs="Tahoma"/>
        </w:rPr>
        <w:t>.</w:t>
      </w:r>
    </w:p>
    <w:p w14:paraId="2B5297D0" w14:textId="77777777" w:rsidR="004C2ABC" w:rsidRPr="004C2ABC" w:rsidRDefault="004C2ABC" w:rsidP="004C2ABC">
      <w:pPr>
        <w:spacing w:after="0" w:line="240" w:lineRule="auto"/>
        <w:jc w:val="center"/>
        <w:rPr>
          <w:rFonts w:ascii="Tahoma" w:hAnsi="Tahoma" w:cs="Tahoma"/>
        </w:rPr>
      </w:pPr>
    </w:p>
    <w:p w14:paraId="6A208787" w14:textId="12EDA758" w:rsidR="000311E8" w:rsidRPr="004C2ABC" w:rsidRDefault="00102398" w:rsidP="00CB7CC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Geração das superfícies estratigráficas para os grabens e altos do embasamento</w:t>
      </w:r>
    </w:p>
    <w:p w14:paraId="2CCB03F1" w14:textId="413536FF" w:rsidR="00891E37" w:rsidRPr="004C2ABC" w:rsidRDefault="009B285D" w:rsidP="009B285D">
      <w:pPr>
        <w:spacing w:after="0" w:line="24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  <w:noProof/>
        </w:rPr>
        <w:drawing>
          <wp:inline distT="0" distB="0" distL="0" distR="0" wp14:anchorId="318BB3A6" wp14:editId="3BC47F88">
            <wp:extent cx="5400040" cy="4934585"/>
            <wp:effectExtent l="0" t="0" r="0" b="0"/>
            <wp:docPr id="674993084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93084" name="Imagem 1" descr="Diagrama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53C4" w14:textId="5DCE96C3" w:rsidR="009B285D" w:rsidRDefault="009B285D" w:rsidP="009B285D">
      <w:pPr>
        <w:spacing w:after="0" w:line="240" w:lineRule="auto"/>
        <w:jc w:val="center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Figura </w:t>
      </w:r>
      <w:r w:rsidRPr="004C2ABC">
        <w:rPr>
          <w:rFonts w:ascii="Tahoma" w:hAnsi="Tahoma" w:cs="Tahoma"/>
        </w:rPr>
        <w:fldChar w:fldCharType="begin"/>
      </w:r>
      <w:r w:rsidRPr="004C2ABC">
        <w:rPr>
          <w:rFonts w:ascii="Tahoma" w:hAnsi="Tahoma" w:cs="Tahoma"/>
        </w:rPr>
        <w:instrText xml:space="preserve"> SEQ Figura \* ARABIC </w:instrText>
      </w:r>
      <w:r w:rsidRPr="004C2ABC">
        <w:rPr>
          <w:rFonts w:ascii="Tahoma" w:hAnsi="Tahoma" w:cs="Tahoma"/>
        </w:rPr>
        <w:fldChar w:fldCharType="separate"/>
      </w:r>
      <w:r w:rsidRPr="004C2ABC">
        <w:rPr>
          <w:rFonts w:ascii="Tahoma" w:hAnsi="Tahoma" w:cs="Tahoma"/>
        </w:rPr>
        <w:t>5</w:t>
      </w:r>
      <w:r w:rsidRPr="004C2ABC">
        <w:rPr>
          <w:rFonts w:ascii="Tahoma" w:hAnsi="Tahoma" w:cs="Tahoma"/>
        </w:rPr>
        <w:fldChar w:fldCharType="end"/>
      </w:r>
      <w:r w:rsidRPr="004C2ABC">
        <w:rPr>
          <w:rFonts w:ascii="Tahoma" w:hAnsi="Tahoma" w:cs="Tahoma"/>
        </w:rPr>
        <w:t xml:space="preserve"> – Superfícies estratigráficas das unidades geológicas da bacia.</w:t>
      </w:r>
    </w:p>
    <w:p w14:paraId="35F21363" w14:textId="77777777" w:rsidR="003629D4" w:rsidRPr="004C2ABC" w:rsidRDefault="003629D4" w:rsidP="003629D4">
      <w:pPr>
        <w:spacing w:after="0" w:line="240" w:lineRule="auto"/>
        <w:rPr>
          <w:rFonts w:ascii="Tahoma" w:hAnsi="Tahoma" w:cs="Tahoma"/>
        </w:rPr>
      </w:pPr>
    </w:p>
    <w:p w14:paraId="2B77E51B" w14:textId="77777777" w:rsidR="003629D4" w:rsidRDefault="003629D4" w:rsidP="003629D4">
      <w:pPr>
        <w:jc w:val="both"/>
        <w:rPr>
          <w:rFonts w:ascii="Tahoma" w:hAnsi="Tahoma" w:cs="Tahoma"/>
        </w:rPr>
      </w:pPr>
    </w:p>
    <w:p w14:paraId="30F1C465" w14:textId="0F0152E0" w:rsidR="003629D4" w:rsidRDefault="003629D4" w:rsidP="003629D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Por fim, considerando os dados dos estudos anteriores e de </w:t>
      </w:r>
      <w:r w:rsidR="002B1229">
        <w:rPr>
          <w:rFonts w:ascii="Tahoma" w:hAnsi="Tahoma" w:cs="Tahoma"/>
        </w:rPr>
        <w:t>os</w:t>
      </w:r>
      <w:r>
        <w:rPr>
          <w:rFonts w:ascii="Tahoma" w:hAnsi="Tahoma" w:cs="Tahoma"/>
        </w:rPr>
        <w:t xml:space="preserve"> poços</w:t>
      </w:r>
      <w:r w:rsidR="002B1229">
        <w:rPr>
          <w:rFonts w:ascii="Tahoma" w:hAnsi="Tahoma" w:cs="Tahoma"/>
        </w:rPr>
        <w:t xml:space="preserve"> da base de dados que tem informação útil</w:t>
      </w:r>
      <w:r>
        <w:rPr>
          <w:rFonts w:ascii="Tahoma" w:hAnsi="Tahoma" w:cs="Tahoma"/>
        </w:rPr>
        <w:t>, gera</w:t>
      </w:r>
      <w:r w:rsidR="002B1229">
        <w:rPr>
          <w:rFonts w:ascii="Tahoma" w:hAnsi="Tahoma" w:cs="Tahoma"/>
        </w:rPr>
        <w:t>ra</w:t>
      </w:r>
      <w:r>
        <w:rPr>
          <w:rFonts w:ascii="Tahoma" w:hAnsi="Tahoma" w:cs="Tahoma"/>
        </w:rPr>
        <w:t>m-se sólidos para cada unidade litoestratigráfica de interesse, conforme se mostra na Figura 6.</w:t>
      </w:r>
      <w:r w:rsidR="002B1229">
        <w:rPr>
          <w:rFonts w:ascii="Tahoma" w:hAnsi="Tahoma" w:cs="Tahoma"/>
        </w:rPr>
        <w:t xml:space="preserve"> Para finalizar o modelo, falta inserir os poços obtidos na base de dados da Petrobrás/ ANP, num total de seis, que apresentam profundidades bem maiores e que, portanto, permitem uma melhor definição da espessura dos aquíferos de interesse ao projeto.</w:t>
      </w:r>
    </w:p>
    <w:p w14:paraId="7C3E9A6F" w14:textId="14FFB5E5" w:rsidR="003629D4" w:rsidRDefault="003629D4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68D7E669" w14:textId="08B799ED" w:rsidR="00102398" w:rsidRPr="004C2ABC" w:rsidRDefault="00E36606" w:rsidP="00CB7CC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lastRenderedPageBreak/>
        <w:t>Geração dos sólidos das unidades estratigráficas</w:t>
      </w:r>
    </w:p>
    <w:p w14:paraId="7942F694" w14:textId="0D0A2B03" w:rsidR="00F55403" w:rsidRPr="004C2ABC" w:rsidRDefault="00035B7D" w:rsidP="00035B7D">
      <w:pPr>
        <w:spacing w:after="0" w:line="24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  <w:noProof/>
        </w:rPr>
        <w:drawing>
          <wp:inline distT="0" distB="0" distL="0" distR="0" wp14:anchorId="5A20C9D6" wp14:editId="3D51C98F">
            <wp:extent cx="5400040" cy="4287520"/>
            <wp:effectExtent l="0" t="0" r="0" b="0"/>
            <wp:docPr id="1951562477" name="Imagem 1" descr="Uma imagem contendo 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62477" name="Imagem 1" descr="Uma imagem contendo Gráfic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D63D" w14:textId="395184C3" w:rsidR="00035B7D" w:rsidRPr="004C2ABC" w:rsidRDefault="00035B7D" w:rsidP="00035B7D">
      <w:pPr>
        <w:spacing w:after="0" w:line="240" w:lineRule="auto"/>
        <w:jc w:val="center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Figura </w:t>
      </w:r>
      <w:r w:rsidRPr="004C2ABC">
        <w:rPr>
          <w:rFonts w:ascii="Tahoma" w:hAnsi="Tahoma" w:cs="Tahoma"/>
        </w:rPr>
        <w:fldChar w:fldCharType="begin"/>
      </w:r>
      <w:r w:rsidRPr="004C2ABC">
        <w:rPr>
          <w:rFonts w:ascii="Tahoma" w:hAnsi="Tahoma" w:cs="Tahoma"/>
        </w:rPr>
        <w:instrText xml:space="preserve"> SEQ Figura \* ARABIC </w:instrText>
      </w:r>
      <w:r w:rsidRPr="004C2ABC">
        <w:rPr>
          <w:rFonts w:ascii="Tahoma" w:hAnsi="Tahoma" w:cs="Tahoma"/>
        </w:rPr>
        <w:fldChar w:fldCharType="separate"/>
      </w:r>
      <w:r w:rsidRPr="004C2ABC">
        <w:rPr>
          <w:rFonts w:ascii="Tahoma" w:hAnsi="Tahoma" w:cs="Tahoma"/>
          <w:noProof/>
        </w:rPr>
        <w:t>6</w:t>
      </w:r>
      <w:r w:rsidRPr="004C2ABC">
        <w:rPr>
          <w:rFonts w:ascii="Tahoma" w:hAnsi="Tahoma" w:cs="Tahoma"/>
        </w:rPr>
        <w:fldChar w:fldCharType="end"/>
      </w:r>
      <w:r w:rsidRPr="004C2ABC">
        <w:rPr>
          <w:rFonts w:ascii="Tahoma" w:hAnsi="Tahoma" w:cs="Tahoma"/>
        </w:rPr>
        <w:t xml:space="preserve"> – Sólidos preliminares das unidades estratigráficas da bacia</w:t>
      </w:r>
      <w:r w:rsidR="004C2ABC" w:rsidRPr="004C2ABC">
        <w:rPr>
          <w:rFonts w:ascii="Tahoma" w:hAnsi="Tahoma" w:cs="Tahoma"/>
        </w:rPr>
        <w:t>.</w:t>
      </w:r>
    </w:p>
    <w:p w14:paraId="6284BEE9" w14:textId="77777777" w:rsidR="004C2ABC" w:rsidRPr="003629D4" w:rsidRDefault="004C2ABC" w:rsidP="003629D4">
      <w:pPr>
        <w:jc w:val="both"/>
        <w:rPr>
          <w:rFonts w:ascii="Tahoma" w:hAnsi="Tahoma" w:cs="Tahoma"/>
        </w:rPr>
      </w:pPr>
    </w:p>
    <w:p w14:paraId="722193FC" w14:textId="291BFD06" w:rsidR="003629D4" w:rsidRPr="003629D4" w:rsidRDefault="003629D4" w:rsidP="003629D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próximas etapas incluem a inclusão de toda a base de dados dos poços no software Leapfrog e utilização de ferramentas para modelagem dos contatos geológicos das unidades litoestratigráficas que irão compor unidades hidrogeológicas no modelo.</w:t>
      </w:r>
    </w:p>
    <w:p w14:paraId="2EF12A25" w14:textId="319D1453" w:rsidR="004C2ABC" w:rsidRPr="003629D4" w:rsidRDefault="004C2ABC" w:rsidP="003629D4">
      <w:pPr>
        <w:jc w:val="both"/>
        <w:rPr>
          <w:rFonts w:ascii="Tahoma" w:hAnsi="Tahoma" w:cs="Tahoma"/>
        </w:rPr>
      </w:pPr>
      <w:r w:rsidRPr="003629D4">
        <w:rPr>
          <w:rFonts w:ascii="Tahoma" w:hAnsi="Tahoma" w:cs="Tahoma"/>
        </w:rPr>
        <w:br w:type="page"/>
      </w:r>
    </w:p>
    <w:p w14:paraId="645A9DCA" w14:textId="27470C84" w:rsidR="004C2ABC" w:rsidRPr="004C2ABC" w:rsidRDefault="004C2ABC" w:rsidP="004C2ABC">
      <w:pPr>
        <w:pStyle w:val="Ttulo1"/>
        <w:rPr>
          <w:rFonts w:ascii="Tahoma" w:hAnsi="Tahoma" w:cs="Tahoma"/>
          <w:b/>
          <w:bCs/>
          <w:color w:val="auto"/>
          <w:sz w:val="28"/>
          <w:szCs w:val="28"/>
        </w:rPr>
      </w:pPr>
      <w:bookmarkStart w:id="6" w:name="_Toc199334607"/>
      <w:r w:rsidRPr="004C2ABC">
        <w:rPr>
          <w:rFonts w:ascii="Tahoma" w:hAnsi="Tahoma" w:cs="Tahoma"/>
          <w:b/>
          <w:bCs/>
          <w:color w:val="auto"/>
          <w:sz w:val="28"/>
          <w:szCs w:val="28"/>
        </w:rPr>
        <w:lastRenderedPageBreak/>
        <w:t>REFERÊNCIAS BIBLIOGRÁFICAS</w:t>
      </w:r>
      <w:bookmarkEnd w:id="6"/>
    </w:p>
    <w:p w14:paraId="079F5F53" w14:textId="77777777" w:rsidR="004C2ABC" w:rsidRDefault="004C2ABC" w:rsidP="004C2ABC">
      <w:pPr>
        <w:spacing w:after="0" w:line="240" w:lineRule="auto"/>
        <w:rPr>
          <w:rFonts w:ascii="Tahoma" w:hAnsi="Tahoma" w:cs="Tahoma"/>
        </w:rPr>
      </w:pPr>
    </w:p>
    <w:p w14:paraId="15335EE4" w14:textId="4000CE15" w:rsidR="00CF562A" w:rsidRDefault="00D90FF3" w:rsidP="00D90FF3">
      <w:pPr>
        <w:spacing w:line="240" w:lineRule="auto"/>
        <w:ind w:left="284" w:hanging="284"/>
        <w:jc w:val="both"/>
        <w:rPr>
          <w:rFonts w:ascii="Tahoma" w:hAnsi="Tahoma" w:cs="Tahoma"/>
        </w:rPr>
      </w:pPr>
      <w:r w:rsidRPr="00D90FF3">
        <w:rPr>
          <w:rFonts w:ascii="Tahoma" w:hAnsi="Tahoma" w:cs="Tahoma"/>
        </w:rPr>
        <w:t>BACKES, E.M. e MIGLIORINI, R.B. Sistema aquífero Parecis: Vulnerabilidade natural e risco à contaminação. Revista Gestão &amp; Sustentabilidade Ambiental, v. 11, n. 1, p: 93-117. 2022.</w:t>
      </w:r>
    </w:p>
    <w:p w14:paraId="566FF433" w14:textId="667A31CA" w:rsidR="0074680A" w:rsidRDefault="0074680A" w:rsidP="00D90FF3">
      <w:pPr>
        <w:spacing w:line="240" w:lineRule="auto"/>
        <w:ind w:left="284" w:hanging="284"/>
        <w:jc w:val="both"/>
        <w:rPr>
          <w:rFonts w:ascii="Tahoma" w:hAnsi="Tahoma" w:cs="Tahoma"/>
        </w:rPr>
      </w:pPr>
      <w:r w:rsidRPr="0074680A">
        <w:rPr>
          <w:rFonts w:ascii="Tahoma" w:hAnsi="Tahoma" w:cs="Tahoma"/>
        </w:rPr>
        <w:t>COMPANHIA DE RECURSOS MINERAIS (CPRM). Projeto Rede Integrada de Monitoramento das Águas Subterrâneas: relatório diagnóstico Aquíferos Ronuro, Salto das Nuvens e Utiariti no Estado do Mato Grosso, Bacia Sedimentar Do Parecis/Dario Dias Peixoto, Tomaz Edson Vasconcelos, Jamilo José Thomé Filho, Maria Antonieta Alcântara Mourão, Coord. Belo Horizonte: CPRM – Serviço Geológico do Brasil. 53 p, il. v.9. 2012.</w:t>
      </w:r>
    </w:p>
    <w:p w14:paraId="43119D80" w14:textId="1601EFC6" w:rsidR="004C2ABC" w:rsidRDefault="00A378E0" w:rsidP="00D90FF3">
      <w:pPr>
        <w:spacing w:line="240" w:lineRule="auto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COWAN</w:t>
      </w:r>
      <w:r w:rsidR="004C2ABC" w:rsidRPr="004C2ABC">
        <w:rPr>
          <w:rFonts w:ascii="Tahoma" w:hAnsi="Tahoma" w:cs="Tahoma"/>
        </w:rPr>
        <w:t>, E.J., B</w:t>
      </w:r>
      <w:r>
        <w:rPr>
          <w:rFonts w:ascii="Tahoma" w:hAnsi="Tahoma" w:cs="Tahoma"/>
        </w:rPr>
        <w:t>EATSON</w:t>
      </w:r>
      <w:r w:rsidR="004C2ABC" w:rsidRPr="004C2ABC">
        <w:rPr>
          <w:rFonts w:ascii="Tahoma" w:hAnsi="Tahoma" w:cs="Tahoma"/>
        </w:rPr>
        <w:t>, R.K., R</w:t>
      </w:r>
      <w:r>
        <w:rPr>
          <w:rFonts w:ascii="Tahoma" w:hAnsi="Tahoma" w:cs="Tahoma"/>
        </w:rPr>
        <w:t>OSS</w:t>
      </w:r>
      <w:r w:rsidR="004C2ABC" w:rsidRPr="004C2ABC">
        <w:rPr>
          <w:rFonts w:ascii="Tahoma" w:hAnsi="Tahoma" w:cs="Tahoma"/>
        </w:rPr>
        <w:t>, H.J., F</w:t>
      </w:r>
      <w:r>
        <w:rPr>
          <w:rFonts w:ascii="Tahoma" w:hAnsi="Tahoma" w:cs="Tahoma"/>
        </w:rPr>
        <w:t>ROGHT</w:t>
      </w:r>
      <w:r w:rsidR="004C2ABC" w:rsidRPr="004C2ABC">
        <w:rPr>
          <w:rFonts w:ascii="Tahoma" w:hAnsi="Tahoma" w:cs="Tahoma"/>
        </w:rPr>
        <w:t>, W.R., McL</w:t>
      </w:r>
      <w:r>
        <w:rPr>
          <w:rFonts w:ascii="Tahoma" w:hAnsi="Tahoma" w:cs="Tahoma"/>
        </w:rPr>
        <w:t>ENNAN</w:t>
      </w:r>
      <w:r w:rsidR="004C2ABC" w:rsidRPr="004C2ABC">
        <w:rPr>
          <w:rFonts w:ascii="Tahoma" w:hAnsi="Tahoma" w:cs="Tahoma"/>
        </w:rPr>
        <w:t>, T.J., E</w:t>
      </w:r>
      <w:r>
        <w:rPr>
          <w:rFonts w:ascii="Tahoma" w:hAnsi="Tahoma" w:cs="Tahoma"/>
        </w:rPr>
        <w:t>VANS</w:t>
      </w:r>
      <w:r w:rsidR="004C2ABC" w:rsidRPr="004C2ABC">
        <w:rPr>
          <w:rFonts w:ascii="Tahoma" w:hAnsi="Tahoma" w:cs="Tahoma"/>
        </w:rPr>
        <w:t>, T.R., C</w:t>
      </w:r>
      <w:r>
        <w:rPr>
          <w:rFonts w:ascii="Tahoma" w:hAnsi="Tahoma" w:cs="Tahoma"/>
        </w:rPr>
        <w:t>ARR</w:t>
      </w:r>
      <w:r w:rsidR="004C2ABC" w:rsidRPr="004C2ABC">
        <w:rPr>
          <w:rFonts w:ascii="Tahoma" w:hAnsi="Tahoma" w:cs="Tahoma"/>
        </w:rPr>
        <w:t>, J.C., L</w:t>
      </w:r>
      <w:r>
        <w:rPr>
          <w:rFonts w:ascii="Tahoma" w:hAnsi="Tahoma" w:cs="Tahoma"/>
        </w:rPr>
        <w:t>ANE</w:t>
      </w:r>
      <w:r w:rsidR="004C2ABC" w:rsidRPr="004C2ABC">
        <w:rPr>
          <w:rFonts w:ascii="Tahoma" w:hAnsi="Tahoma" w:cs="Tahoma"/>
        </w:rPr>
        <w:t>, R.G., B</w:t>
      </w:r>
      <w:r>
        <w:rPr>
          <w:rFonts w:ascii="Tahoma" w:hAnsi="Tahoma" w:cs="Tahoma"/>
        </w:rPr>
        <w:t>RIGHT</w:t>
      </w:r>
      <w:r w:rsidR="004C2ABC" w:rsidRPr="004C2ABC">
        <w:rPr>
          <w:rFonts w:ascii="Tahoma" w:hAnsi="Tahoma" w:cs="Tahoma"/>
        </w:rPr>
        <w:t>, D.V., G</w:t>
      </w:r>
      <w:r>
        <w:rPr>
          <w:rFonts w:ascii="Tahoma" w:hAnsi="Tahoma" w:cs="Tahoma"/>
        </w:rPr>
        <w:t>ILLMAN</w:t>
      </w:r>
      <w:r w:rsidR="004C2ABC" w:rsidRPr="004C2ABC">
        <w:rPr>
          <w:rFonts w:ascii="Tahoma" w:hAnsi="Tahoma" w:cs="Tahoma"/>
        </w:rPr>
        <w:t>, A.J., O</w:t>
      </w:r>
      <w:r>
        <w:rPr>
          <w:rFonts w:ascii="Tahoma" w:hAnsi="Tahoma" w:cs="Tahoma"/>
        </w:rPr>
        <w:t>SHUST</w:t>
      </w:r>
      <w:r w:rsidR="004C2ABC" w:rsidRPr="004C2ABC">
        <w:rPr>
          <w:rFonts w:ascii="Tahoma" w:hAnsi="Tahoma" w:cs="Tahoma"/>
        </w:rPr>
        <w:t>, P.A., &amp; T</w:t>
      </w:r>
      <w:r>
        <w:rPr>
          <w:rFonts w:ascii="Tahoma" w:hAnsi="Tahoma" w:cs="Tahoma"/>
        </w:rPr>
        <w:t>ITLEY</w:t>
      </w:r>
      <w:r w:rsidR="004C2ABC" w:rsidRPr="004C2ABC">
        <w:rPr>
          <w:rFonts w:ascii="Tahoma" w:hAnsi="Tahoma" w:cs="Tahoma"/>
        </w:rPr>
        <w:t xml:space="preserve">, M. (2003). </w:t>
      </w:r>
      <w:r w:rsidR="004C2ABC" w:rsidRPr="004C2ABC">
        <w:rPr>
          <w:rFonts w:ascii="Tahoma" w:hAnsi="Tahoma" w:cs="Tahoma"/>
          <w:lang w:val="en-US"/>
        </w:rPr>
        <w:t xml:space="preserve">Practical Implicit Geological Modelling. In </w:t>
      </w:r>
      <w:r w:rsidR="004C2ABC" w:rsidRPr="004C2ABC">
        <w:rPr>
          <w:rFonts w:ascii="Tahoma" w:hAnsi="Tahoma" w:cs="Tahoma"/>
          <w:b/>
          <w:bCs/>
          <w:i/>
          <w:iCs/>
          <w:lang w:val="en-US"/>
        </w:rPr>
        <w:t>Proceedings of the Fifth International Mining Geology Conference</w:t>
      </w:r>
      <w:r w:rsidR="004C2ABC" w:rsidRPr="004C2ABC">
        <w:rPr>
          <w:rFonts w:ascii="Tahoma" w:hAnsi="Tahoma" w:cs="Tahoma"/>
          <w:b/>
          <w:bCs/>
          <w:lang w:val="en-US"/>
        </w:rPr>
        <w:t xml:space="preserve"> </w:t>
      </w:r>
      <w:r w:rsidR="004C2ABC" w:rsidRPr="004C2ABC">
        <w:rPr>
          <w:rFonts w:ascii="Tahoma" w:hAnsi="Tahoma" w:cs="Tahoma"/>
          <w:lang w:val="en-US"/>
        </w:rPr>
        <w:t xml:space="preserve">(pp. 89–99). </w:t>
      </w:r>
      <w:proofErr w:type="spellStart"/>
      <w:r w:rsidR="004C2ABC" w:rsidRPr="004C2ABC">
        <w:rPr>
          <w:rFonts w:ascii="Tahoma" w:hAnsi="Tahoma" w:cs="Tahoma"/>
        </w:rPr>
        <w:t>Australasian</w:t>
      </w:r>
      <w:proofErr w:type="spellEnd"/>
      <w:r w:rsidR="004C2ABC" w:rsidRPr="004C2ABC">
        <w:rPr>
          <w:rFonts w:ascii="Tahoma" w:hAnsi="Tahoma" w:cs="Tahoma"/>
        </w:rPr>
        <w:t xml:space="preserve"> </w:t>
      </w:r>
      <w:proofErr w:type="spellStart"/>
      <w:r w:rsidR="004C2ABC" w:rsidRPr="004C2ABC">
        <w:rPr>
          <w:rFonts w:ascii="Tahoma" w:hAnsi="Tahoma" w:cs="Tahoma"/>
        </w:rPr>
        <w:t>Institute</w:t>
      </w:r>
      <w:proofErr w:type="spellEnd"/>
      <w:r w:rsidR="004C2ABC" w:rsidRPr="004C2ABC">
        <w:rPr>
          <w:rFonts w:ascii="Tahoma" w:hAnsi="Tahoma" w:cs="Tahoma"/>
        </w:rPr>
        <w:t xml:space="preserve"> of Mining and </w:t>
      </w:r>
      <w:proofErr w:type="spellStart"/>
      <w:r w:rsidR="004C2ABC" w:rsidRPr="004C2ABC">
        <w:rPr>
          <w:rFonts w:ascii="Tahoma" w:hAnsi="Tahoma" w:cs="Tahoma"/>
        </w:rPr>
        <w:t>Metallurgy</w:t>
      </w:r>
      <w:proofErr w:type="spellEnd"/>
      <w:r w:rsidR="004C2ABC">
        <w:rPr>
          <w:rFonts w:ascii="Tahoma" w:hAnsi="Tahoma" w:cs="Tahoma"/>
        </w:rPr>
        <w:t>.</w:t>
      </w:r>
    </w:p>
    <w:p w14:paraId="6FC59E22" w14:textId="269C942C" w:rsidR="0074680A" w:rsidRDefault="0074680A" w:rsidP="00D90FF3">
      <w:pPr>
        <w:spacing w:line="240" w:lineRule="auto"/>
        <w:ind w:left="284" w:hanging="284"/>
        <w:jc w:val="both"/>
        <w:rPr>
          <w:rFonts w:ascii="Tahoma" w:hAnsi="Tahoma" w:cs="Tahoma"/>
        </w:rPr>
      </w:pPr>
      <w:r w:rsidRPr="0074680A">
        <w:rPr>
          <w:rFonts w:ascii="Tahoma" w:hAnsi="Tahoma" w:cs="Tahoma"/>
        </w:rPr>
        <w:t>CUTRIM, A.O.; da Luz, J.A.G. e Migliorini, R.B. AVALIAÇÃO DAS VULNERABILIDADES NATURAL, ANTRÓPICA E TOTAL E PERIGO À CONTAMINAÇÃO</w:t>
      </w:r>
      <w:r>
        <w:rPr>
          <w:rFonts w:ascii="Tahoma" w:hAnsi="Tahoma" w:cs="Tahoma"/>
        </w:rPr>
        <w:t xml:space="preserve"> </w:t>
      </w:r>
      <w:r w:rsidRPr="0074680A">
        <w:rPr>
          <w:rFonts w:ascii="Tahoma" w:hAnsi="Tahoma" w:cs="Tahoma"/>
        </w:rPr>
        <w:t>DO</w:t>
      </w:r>
      <w:r>
        <w:rPr>
          <w:rFonts w:ascii="Tahoma" w:hAnsi="Tahoma" w:cs="Tahoma"/>
        </w:rPr>
        <w:t xml:space="preserve"> </w:t>
      </w:r>
      <w:r w:rsidRPr="0074680A">
        <w:rPr>
          <w:rFonts w:ascii="Tahoma" w:hAnsi="Tahoma" w:cs="Tahoma"/>
        </w:rPr>
        <w:t>AQUÍFERO</w:t>
      </w:r>
      <w:r>
        <w:rPr>
          <w:rFonts w:ascii="Tahoma" w:hAnsi="Tahoma" w:cs="Tahoma"/>
        </w:rPr>
        <w:t xml:space="preserve"> </w:t>
      </w:r>
      <w:r w:rsidRPr="0074680A">
        <w:rPr>
          <w:rFonts w:ascii="Tahoma" w:hAnsi="Tahoma" w:cs="Tahoma"/>
        </w:rPr>
        <w:t>UTIARITI NA CIDADE DE SINOP (MT), USANDO</w:t>
      </w:r>
      <w:r>
        <w:rPr>
          <w:rFonts w:ascii="Tahoma" w:hAnsi="Tahoma" w:cs="Tahoma"/>
        </w:rPr>
        <w:t xml:space="preserve"> </w:t>
      </w:r>
      <w:r w:rsidRPr="0074680A">
        <w:rPr>
          <w:rFonts w:ascii="Tahoma" w:hAnsi="Tahoma" w:cs="Tahoma"/>
        </w:rPr>
        <w:t>OS</w:t>
      </w:r>
      <w:r>
        <w:rPr>
          <w:rFonts w:ascii="Tahoma" w:hAnsi="Tahoma" w:cs="Tahoma"/>
        </w:rPr>
        <w:t xml:space="preserve"> </w:t>
      </w:r>
      <w:r w:rsidRPr="0074680A">
        <w:rPr>
          <w:rFonts w:ascii="Tahoma" w:hAnsi="Tahoma" w:cs="Tahoma"/>
        </w:rPr>
        <w:t>MÉTODO</w:t>
      </w:r>
      <w:r>
        <w:rPr>
          <w:rFonts w:ascii="Tahoma" w:hAnsi="Tahoma" w:cs="Tahoma"/>
        </w:rPr>
        <w:t xml:space="preserve">S </w:t>
      </w:r>
      <w:r w:rsidRPr="0074680A">
        <w:rPr>
          <w:rFonts w:ascii="Tahoma" w:hAnsi="Tahoma" w:cs="Tahoma"/>
        </w:rPr>
        <w:t>VAN E POSH. São Paulo. Unesp, Revista Geociências, v. 40, n. 3, p. 721-733, 2021. ISBN:1980-900X.</w:t>
      </w:r>
    </w:p>
    <w:p w14:paraId="29D87155" w14:textId="30A2E967" w:rsidR="00CF562A" w:rsidRDefault="00CF562A" w:rsidP="00D90FF3">
      <w:pPr>
        <w:spacing w:line="240" w:lineRule="auto"/>
        <w:ind w:left="284" w:hanging="284"/>
        <w:jc w:val="both"/>
        <w:rPr>
          <w:rFonts w:ascii="Tahoma" w:hAnsi="Tahoma" w:cs="Tahoma"/>
        </w:rPr>
      </w:pPr>
      <w:r w:rsidRPr="00CF562A">
        <w:rPr>
          <w:rFonts w:ascii="Tahoma" w:hAnsi="Tahoma" w:cs="Tahoma"/>
          <w:lang w:val="fr-BE"/>
        </w:rPr>
        <w:t xml:space="preserve">PEREIRA, L.A.C. et al. </w:t>
      </w:r>
      <w:r w:rsidRPr="00CF562A">
        <w:rPr>
          <w:rFonts w:ascii="Tahoma" w:hAnsi="Tahoma" w:cs="Tahoma"/>
        </w:rPr>
        <w:t>Síntese da hidrogeologia da Bacia dos Parecis. Anais...XVIII Congresso Brasileiro de Águas Subterrâneas. ABAS. Belo Horizonte. 12 p. 2014.</w:t>
      </w:r>
    </w:p>
    <w:p w14:paraId="47138A06" w14:textId="182893EC" w:rsidR="0074680A" w:rsidRDefault="0074680A" w:rsidP="00D90FF3">
      <w:pPr>
        <w:spacing w:line="240" w:lineRule="auto"/>
        <w:ind w:left="284" w:hanging="284"/>
        <w:jc w:val="both"/>
        <w:rPr>
          <w:rFonts w:ascii="Tahoma" w:hAnsi="Tahoma" w:cs="Tahoma"/>
        </w:rPr>
      </w:pPr>
      <w:r w:rsidRPr="0074680A">
        <w:rPr>
          <w:rFonts w:ascii="Tahoma" w:hAnsi="Tahoma" w:cs="Tahoma"/>
        </w:rPr>
        <w:t>SILVA, T.G. Caracterização do Sistema Aquífero Parecis na região centro-oeste do estado de Mato Grosso: Subsídios para a gestão dos recursos hídricos subterrâneos. Dissertação de Metrado (Geociências Aplicadas) – Universidade de Brasília – UnB. Brasília, 2013.</w:t>
      </w:r>
    </w:p>
    <w:p w14:paraId="12057AA5" w14:textId="77777777" w:rsidR="004C2ABC" w:rsidRPr="004C2ABC" w:rsidRDefault="004C2ABC" w:rsidP="00D90FF3">
      <w:pPr>
        <w:spacing w:line="240" w:lineRule="auto"/>
        <w:jc w:val="both"/>
        <w:rPr>
          <w:rFonts w:ascii="Tahoma" w:hAnsi="Tahoma" w:cs="Tahoma"/>
        </w:rPr>
      </w:pPr>
    </w:p>
    <w:p w14:paraId="3EA3C949" w14:textId="77777777" w:rsidR="004C2ABC" w:rsidRPr="004C2ABC" w:rsidRDefault="004C2ABC" w:rsidP="004C2ABC">
      <w:pPr>
        <w:spacing w:after="0" w:line="240" w:lineRule="auto"/>
        <w:jc w:val="both"/>
        <w:rPr>
          <w:rFonts w:ascii="Tahoma" w:hAnsi="Tahoma" w:cs="Tahoma"/>
        </w:rPr>
      </w:pPr>
    </w:p>
    <w:sectPr w:rsidR="004C2ABC" w:rsidRPr="004C2A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4179A"/>
    <w:multiLevelType w:val="hybridMultilevel"/>
    <w:tmpl w:val="29B0C7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851CA"/>
    <w:multiLevelType w:val="hybridMultilevel"/>
    <w:tmpl w:val="92E4CEE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718C"/>
    <w:multiLevelType w:val="multilevel"/>
    <w:tmpl w:val="1D968596"/>
    <w:lvl w:ilvl="0">
      <w:start w:val="1"/>
      <w:numFmt w:val="decimal"/>
      <w:pStyle w:val="Estilo1"/>
      <w:lvlText w:val="%1.0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pStyle w:val="Estilo3"/>
      <w:lvlText w:val="%1.%2"/>
      <w:lvlJc w:val="left"/>
      <w:pPr>
        <w:ind w:left="1080" w:hanging="372"/>
      </w:pPr>
      <w:rPr>
        <w:rFonts w:hint="default"/>
      </w:rPr>
    </w:lvl>
    <w:lvl w:ilvl="2">
      <w:start w:val="1"/>
      <w:numFmt w:val="decimal"/>
      <w:pStyle w:val="Estilo4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5F4654C8"/>
    <w:multiLevelType w:val="hybridMultilevel"/>
    <w:tmpl w:val="A3EAE6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109324">
    <w:abstractNumId w:val="0"/>
  </w:num>
  <w:num w:numId="2" w16cid:durableId="213588094">
    <w:abstractNumId w:val="3"/>
  </w:num>
  <w:num w:numId="3" w16cid:durableId="1225877449">
    <w:abstractNumId w:val="2"/>
  </w:num>
  <w:num w:numId="4" w16cid:durableId="1284267960">
    <w:abstractNumId w:val="2"/>
  </w:num>
  <w:num w:numId="5" w16cid:durableId="954561468">
    <w:abstractNumId w:val="1"/>
  </w:num>
  <w:num w:numId="6" w16cid:durableId="8669838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22874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A6"/>
    <w:rsid w:val="00016629"/>
    <w:rsid w:val="000311E8"/>
    <w:rsid w:val="00035B7D"/>
    <w:rsid w:val="000677E6"/>
    <w:rsid w:val="00073531"/>
    <w:rsid w:val="00095629"/>
    <w:rsid w:val="000A317A"/>
    <w:rsid w:val="000A4841"/>
    <w:rsid w:val="000F66CE"/>
    <w:rsid w:val="00101D40"/>
    <w:rsid w:val="00102398"/>
    <w:rsid w:val="00137EDF"/>
    <w:rsid w:val="001D0D38"/>
    <w:rsid w:val="001E2E7C"/>
    <w:rsid w:val="00212B09"/>
    <w:rsid w:val="0021357D"/>
    <w:rsid w:val="002B1229"/>
    <w:rsid w:val="00333612"/>
    <w:rsid w:val="003629D4"/>
    <w:rsid w:val="0037661E"/>
    <w:rsid w:val="004B114F"/>
    <w:rsid w:val="004C2ABC"/>
    <w:rsid w:val="005153FB"/>
    <w:rsid w:val="00546D17"/>
    <w:rsid w:val="005A73B0"/>
    <w:rsid w:val="005E0CC1"/>
    <w:rsid w:val="005E10A6"/>
    <w:rsid w:val="006219B5"/>
    <w:rsid w:val="006808A4"/>
    <w:rsid w:val="00692691"/>
    <w:rsid w:val="006B4D96"/>
    <w:rsid w:val="006D56C9"/>
    <w:rsid w:val="00720402"/>
    <w:rsid w:val="0074680A"/>
    <w:rsid w:val="007640B1"/>
    <w:rsid w:val="00780DEF"/>
    <w:rsid w:val="00790E1D"/>
    <w:rsid w:val="008029E3"/>
    <w:rsid w:val="00847F17"/>
    <w:rsid w:val="00891E37"/>
    <w:rsid w:val="008E3FBB"/>
    <w:rsid w:val="008F52BD"/>
    <w:rsid w:val="009251FA"/>
    <w:rsid w:val="00947712"/>
    <w:rsid w:val="009B0989"/>
    <w:rsid w:val="009B285D"/>
    <w:rsid w:val="009C7FC5"/>
    <w:rsid w:val="00A25505"/>
    <w:rsid w:val="00A378E0"/>
    <w:rsid w:val="00A848CD"/>
    <w:rsid w:val="00A86C89"/>
    <w:rsid w:val="00BF2B7C"/>
    <w:rsid w:val="00BF500A"/>
    <w:rsid w:val="00C02A55"/>
    <w:rsid w:val="00C27AA4"/>
    <w:rsid w:val="00CB7CC7"/>
    <w:rsid w:val="00CF562A"/>
    <w:rsid w:val="00D14D05"/>
    <w:rsid w:val="00D371D2"/>
    <w:rsid w:val="00D3764F"/>
    <w:rsid w:val="00D90FF3"/>
    <w:rsid w:val="00DA597F"/>
    <w:rsid w:val="00E237A9"/>
    <w:rsid w:val="00E36606"/>
    <w:rsid w:val="00E46E34"/>
    <w:rsid w:val="00E72E19"/>
    <w:rsid w:val="00EA4852"/>
    <w:rsid w:val="00ED192D"/>
    <w:rsid w:val="00ED3934"/>
    <w:rsid w:val="00F2470E"/>
    <w:rsid w:val="00F55403"/>
    <w:rsid w:val="00F74827"/>
    <w:rsid w:val="00FA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0672E"/>
  <w15:chartTrackingRefBased/>
  <w15:docId w15:val="{CFA2C398-35D5-4DD3-AD19-7657BA7A2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E10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10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10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10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10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10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10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10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10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E10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10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10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10A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10A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10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10A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10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10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E10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E10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10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10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E10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E10A6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5E10A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E10A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10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10A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E10A6"/>
    <w:rPr>
      <w:b/>
      <w:bCs/>
      <w:smallCaps/>
      <w:color w:val="0F4761" w:themeColor="accent1" w:themeShade="BF"/>
      <w:spacing w:val="5"/>
    </w:rPr>
  </w:style>
  <w:style w:type="character" w:styleId="Refdecomentrio">
    <w:name w:val="annotation reference"/>
    <w:basedOn w:val="Fontepargpadro"/>
    <w:uiPriority w:val="99"/>
    <w:semiHidden/>
    <w:unhideWhenUsed/>
    <w:rsid w:val="007204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2040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2040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04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0402"/>
    <w:rPr>
      <w:b/>
      <w:bCs/>
      <w:sz w:val="20"/>
      <w:szCs w:val="20"/>
    </w:rPr>
  </w:style>
  <w:style w:type="paragraph" w:customStyle="1" w:styleId="Estilo1">
    <w:name w:val="Estilo1"/>
    <w:basedOn w:val="PargrafodaLista"/>
    <w:link w:val="Estilo1Char"/>
    <w:qFormat/>
    <w:rsid w:val="00E72E19"/>
    <w:pPr>
      <w:numPr>
        <w:numId w:val="3"/>
      </w:numPr>
      <w:jc w:val="both"/>
    </w:pPr>
    <w:rPr>
      <w:b/>
      <w:bCs/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E72E19"/>
  </w:style>
  <w:style w:type="character" w:customStyle="1" w:styleId="Estilo1Char">
    <w:name w:val="Estilo1 Char"/>
    <w:basedOn w:val="PargrafodaListaChar"/>
    <w:link w:val="Estilo1"/>
    <w:rsid w:val="00E72E19"/>
    <w:rPr>
      <w:b/>
      <w:bCs/>
      <w:i/>
      <w:iCs/>
    </w:rPr>
  </w:style>
  <w:style w:type="paragraph" w:customStyle="1" w:styleId="Estilo2">
    <w:name w:val="Estilo2"/>
    <w:basedOn w:val="Estilo1"/>
    <w:link w:val="Estilo2Char"/>
    <w:qFormat/>
    <w:rsid w:val="00E72E19"/>
    <w:pPr>
      <w:ind w:left="851" w:hanging="851"/>
    </w:pPr>
  </w:style>
  <w:style w:type="character" w:customStyle="1" w:styleId="Estilo2Char">
    <w:name w:val="Estilo2 Char"/>
    <w:basedOn w:val="Estilo1Char"/>
    <w:link w:val="Estilo2"/>
    <w:rsid w:val="00E72E19"/>
    <w:rPr>
      <w:b/>
      <w:bCs/>
      <w:i/>
      <w:iCs/>
    </w:rPr>
  </w:style>
  <w:style w:type="paragraph" w:customStyle="1" w:styleId="Estilo3">
    <w:name w:val="Estilo3"/>
    <w:basedOn w:val="PargrafodaLista"/>
    <w:link w:val="Estilo3Char"/>
    <w:qFormat/>
    <w:rsid w:val="00E72E19"/>
    <w:pPr>
      <w:numPr>
        <w:ilvl w:val="1"/>
        <w:numId w:val="3"/>
      </w:numPr>
      <w:jc w:val="both"/>
    </w:pPr>
    <w:rPr>
      <w:b/>
      <w:bCs/>
    </w:rPr>
  </w:style>
  <w:style w:type="character" w:customStyle="1" w:styleId="Estilo3Char">
    <w:name w:val="Estilo3 Char"/>
    <w:basedOn w:val="PargrafodaListaChar"/>
    <w:link w:val="Estilo3"/>
    <w:rsid w:val="00E72E19"/>
    <w:rPr>
      <w:b/>
      <w:bCs/>
    </w:rPr>
  </w:style>
  <w:style w:type="paragraph" w:customStyle="1" w:styleId="Estilo4">
    <w:name w:val="Estilo4"/>
    <w:basedOn w:val="PargrafodaLista"/>
    <w:link w:val="Estilo4Char"/>
    <w:qFormat/>
    <w:rsid w:val="00E72E19"/>
    <w:pPr>
      <w:numPr>
        <w:ilvl w:val="2"/>
        <w:numId w:val="3"/>
      </w:numPr>
      <w:ind w:left="1064" w:hanging="1064"/>
      <w:jc w:val="both"/>
    </w:pPr>
    <w:rPr>
      <w:b/>
      <w:bCs/>
      <w:i/>
      <w:iCs/>
    </w:rPr>
  </w:style>
  <w:style w:type="character" w:customStyle="1" w:styleId="Estilo4Char">
    <w:name w:val="Estilo4 Char"/>
    <w:basedOn w:val="PargrafodaListaChar"/>
    <w:link w:val="Estilo4"/>
    <w:rsid w:val="00E72E19"/>
    <w:rPr>
      <w:b/>
      <w:bCs/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9B098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4C2ABC"/>
    <w:pPr>
      <w:spacing w:before="240" w:after="0" w:line="259" w:lineRule="auto"/>
      <w:outlineLvl w:val="9"/>
    </w:pPr>
    <w:rPr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4C2ABC"/>
    <w:pPr>
      <w:spacing w:after="100" w:line="259" w:lineRule="auto"/>
    </w:pPr>
    <w:rPr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4C2ABC"/>
    <w:pPr>
      <w:spacing w:after="100" w:line="259" w:lineRule="auto"/>
      <w:ind w:left="220"/>
    </w:pPr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4C2ABC"/>
    <w:rPr>
      <w:color w:val="467886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4C2ABC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3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E5633-E974-450C-90C2-C5EC063BF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2167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Nascimento - DF+</dc:creator>
  <cp:keywords/>
  <dc:description/>
  <cp:lastModifiedBy>OCULTO</cp:lastModifiedBy>
  <cp:revision>3</cp:revision>
  <dcterms:created xsi:type="dcterms:W3CDTF">2025-05-29T00:14:00Z</dcterms:created>
  <dcterms:modified xsi:type="dcterms:W3CDTF">2025-05-29T00:19:00Z</dcterms:modified>
</cp:coreProperties>
</file>