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3A69" w14:textId="77777777" w:rsidR="00CF5581" w:rsidRPr="00655C64" w:rsidRDefault="00CF5581" w:rsidP="00CF5581">
      <w:pPr>
        <w:jc w:val="center"/>
        <w:rPr>
          <w:rFonts w:ascii="Times New Roman" w:hAnsi="Times New Roman" w:cs="Times New Roman"/>
          <w:sz w:val="24"/>
          <w:szCs w:val="24"/>
        </w:rPr>
      </w:pPr>
      <w:r w:rsidRPr="00655C64">
        <w:rPr>
          <w:rFonts w:ascii="Times New Roman" w:hAnsi="Times New Roman" w:cs="Times New Roman"/>
          <w:sz w:val="24"/>
          <w:szCs w:val="24"/>
        </w:rPr>
        <w:t>Instituto Mato-grossense do Feijão, Pulses, Colheitas Especiais e Irrigação (IMAFIR-MT)</w:t>
      </w:r>
    </w:p>
    <w:p w14:paraId="2701C415" w14:textId="77777777" w:rsidR="00CF5581" w:rsidRPr="00655C64" w:rsidRDefault="00CF5581" w:rsidP="00CF5581">
      <w:pPr>
        <w:jc w:val="center"/>
        <w:rPr>
          <w:rFonts w:ascii="Times New Roman" w:hAnsi="Times New Roman" w:cs="Times New Roman"/>
          <w:sz w:val="24"/>
          <w:szCs w:val="24"/>
        </w:rPr>
      </w:pPr>
      <w:r w:rsidRPr="00655C64">
        <w:rPr>
          <w:rFonts w:ascii="Times New Roman" w:hAnsi="Times New Roman" w:cs="Times New Roman"/>
          <w:sz w:val="24"/>
          <w:szCs w:val="24"/>
        </w:rPr>
        <w:t>Universidade Federal de Viçosa (UFV)</w:t>
      </w:r>
    </w:p>
    <w:p w14:paraId="09CC2FE0" w14:textId="77777777" w:rsidR="00CF5581" w:rsidRPr="00655C64" w:rsidRDefault="00CF5581" w:rsidP="00CF5581">
      <w:pPr>
        <w:jc w:val="center"/>
        <w:rPr>
          <w:rFonts w:ascii="Times New Roman" w:hAnsi="Times New Roman" w:cs="Times New Roman"/>
          <w:sz w:val="24"/>
          <w:szCs w:val="24"/>
        </w:rPr>
      </w:pPr>
      <w:r w:rsidRPr="00655C64">
        <w:rPr>
          <w:rFonts w:ascii="Times New Roman" w:hAnsi="Times New Roman" w:cs="Times New Roman"/>
          <w:sz w:val="24"/>
          <w:szCs w:val="24"/>
        </w:rPr>
        <w:t>Universidade Federal do Rio de Janeiro (UFRJ)</w:t>
      </w:r>
    </w:p>
    <w:p w14:paraId="79555A78" w14:textId="77777777" w:rsidR="00CF5581" w:rsidRPr="00655C64" w:rsidRDefault="00CF5581" w:rsidP="00CF5581">
      <w:pPr>
        <w:jc w:val="center"/>
        <w:rPr>
          <w:rFonts w:ascii="Times New Roman" w:hAnsi="Times New Roman" w:cs="Times New Roman"/>
          <w:sz w:val="24"/>
          <w:szCs w:val="24"/>
        </w:rPr>
      </w:pPr>
    </w:p>
    <w:p w14:paraId="5A7CB357" w14:textId="77777777" w:rsidR="00CF5581" w:rsidRPr="00655C64" w:rsidRDefault="00CF5581" w:rsidP="00CF5581">
      <w:pPr>
        <w:jc w:val="center"/>
        <w:rPr>
          <w:rFonts w:ascii="Times New Roman" w:hAnsi="Times New Roman" w:cs="Times New Roman"/>
          <w:sz w:val="24"/>
          <w:szCs w:val="24"/>
        </w:rPr>
      </w:pPr>
    </w:p>
    <w:p w14:paraId="7CF8F348" w14:textId="77777777" w:rsidR="00CF5581" w:rsidRPr="00655C64" w:rsidRDefault="00CF5581" w:rsidP="00CF5581">
      <w:pPr>
        <w:jc w:val="center"/>
        <w:rPr>
          <w:rFonts w:ascii="Times New Roman" w:hAnsi="Times New Roman" w:cs="Times New Roman"/>
          <w:sz w:val="24"/>
          <w:szCs w:val="24"/>
        </w:rPr>
      </w:pPr>
    </w:p>
    <w:p w14:paraId="759A19D3" w14:textId="77777777" w:rsidR="00CF5581" w:rsidRPr="00655C64" w:rsidRDefault="00CF5581" w:rsidP="00CF5581">
      <w:pPr>
        <w:jc w:val="center"/>
        <w:rPr>
          <w:rFonts w:ascii="Times New Roman" w:hAnsi="Times New Roman" w:cs="Times New Roman"/>
          <w:sz w:val="24"/>
          <w:szCs w:val="24"/>
        </w:rPr>
      </w:pPr>
    </w:p>
    <w:p w14:paraId="33DD997B" w14:textId="77777777" w:rsidR="00CF5581" w:rsidRPr="00655C64" w:rsidRDefault="00CF5581" w:rsidP="00CF5581">
      <w:pPr>
        <w:jc w:val="center"/>
        <w:rPr>
          <w:rFonts w:ascii="Times New Roman" w:hAnsi="Times New Roman" w:cs="Times New Roman"/>
          <w:b/>
          <w:bCs/>
          <w:sz w:val="24"/>
          <w:szCs w:val="24"/>
        </w:rPr>
      </w:pPr>
      <w:r w:rsidRPr="00655C64">
        <w:rPr>
          <w:rFonts w:ascii="Times New Roman" w:hAnsi="Times New Roman" w:cs="Times New Roman"/>
          <w:b/>
          <w:bCs/>
          <w:sz w:val="24"/>
          <w:szCs w:val="24"/>
        </w:rPr>
        <w:t>Estudo Envolvendo Levantamento Integrado de Informações dos Recursos Hídricos Superficiais e Subterrâneos para os Polos de Agricultura Irrigada do Centro Sul e do Alto Teles Pires no Estado de Mato Grosso</w:t>
      </w:r>
    </w:p>
    <w:p w14:paraId="5755D7D4" w14:textId="77777777" w:rsidR="00CF5581" w:rsidRPr="00655C64" w:rsidRDefault="00CF5581" w:rsidP="00CF5581">
      <w:pPr>
        <w:rPr>
          <w:rFonts w:ascii="Times New Roman" w:hAnsi="Times New Roman" w:cs="Times New Roman"/>
          <w:sz w:val="24"/>
          <w:szCs w:val="24"/>
        </w:rPr>
      </w:pPr>
    </w:p>
    <w:p w14:paraId="1345B92F" w14:textId="77777777" w:rsidR="00CF5581" w:rsidRPr="00655C64" w:rsidRDefault="00CF5581" w:rsidP="00CF5581">
      <w:pPr>
        <w:rPr>
          <w:rFonts w:ascii="Times New Roman" w:hAnsi="Times New Roman" w:cs="Times New Roman"/>
          <w:sz w:val="24"/>
          <w:szCs w:val="24"/>
        </w:rPr>
      </w:pPr>
    </w:p>
    <w:p w14:paraId="74DDF964" w14:textId="77777777" w:rsidR="00CF5581" w:rsidRPr="00655C64" w:rsidRDefault="00CF5581" w:rsidP="00CF5581">
      <w:pPr>
        <w:rPr>
          <w:rFonts w:ascii="Times New Roman" w:hAnsi="Times New Roman" w:cs="Times New Roman"/>
          <w:sz w:val="24"/>
          <w:szCs w:val="24"/>
        </w:rPr>
      </w:pPr>
    </w:p>
    <w:p w14:paraId="14FE6CA9" w14:textId="7A98F85B" w:rsidR="006F50B3" w:rsidRPr="00064B1F" w:rsidRDefault="006F50B3" w:rsidP="00B77116">
      <w:pPr>
        <w:spacing w:after="0"/>
        <w:jc w:val="center"/>
        <w:rPr>
          <w:rFonts w:ascii="Times New Roman" w:hAnsi="Times New Roman" w:cs="Times New Roman"/>
          <w:b/>
          <w:bCs/>
          <w:i/>
          <w:iCs/>
          <w:sz w:val="24"/>
          <w:szCs w:val="24"/>
        </w:rPr>
      </w:pPr>
      <w:r w:rsidRPr="00064B1F">
        <w:rPr>
          <w:rFonts w:ascii="Times New Roman" w:hAnsi="Times New Roman" w:cs="Times New Roman"/>
          <w:b/>
          <w:bCs/>
          <w:i/>
          <w:iCs/>
          <w:sz w:val="24"/>
          <w:szCs w:val="24"/>
        </w:rPr>
        <w:t>RELATÓRIO</w:t>
      </w:r>
      <w:r w:rsidR="00284D2C" w:rsidRPr="00064B1F">
        <w:rPr>
          <w:rFonts w:ascii="Times New Roman" w:hAnsi="Times New Roman" w:cs="Times New Roman"/>
          <w:b/>
          <w:bCs/>
          <w:i/>
          <w:iCs/>
          <w:sz w:val="24"/>
          <w:szCs w:val="24"/>
        </w:rPr>
        <w:t xml:space="preserve"> FINAL</w:t>
      </w:r>
    </w:p>
    <w:p w14:paraId="02B56FD0" w14:textId="5CF0AB37" w:rsidR="00CF5581" w:rsidRPr="00655C64" w:rsidRDefault="00303FB6" w:rsidP="00B77116">
      <w:pPr>
        <w:spacing w:after="0"/>
        <w:jc w:val="center"/>
        <w:rPr>
          <w:rFonts w:ascii="Times New Roman" w:hAnsi="Times New Roman" w:cs="Times New Roman"/>
          <w:i/>
          <w:iCs/>
          <w:sz w:val="24"/>
          <w:szCs w:val="24"/>
        </w:rPr>
      </w:pPr>
      <w:r w:rsidRPr="00655C64">
        <w:rPr>
          <w:rFonts w:ascii="Times New Roman" w:hAnsi="Times New Roman" w:cs="Times New Roman"/>
          <w:i/>
          <w:iCs/>
          <w:sz w:val="24"/>
          <w:szCs w:val="24"/>
        </w:rPr>
        <w:t>Meta 04 – Estudo da disponibilidade hídrica superficial</w:t>
      </w:r>
    </w:p>
    <w:p w14:paraId="65BA7060" w14:textId="06B35088" w:rsidR="0027750D" w:rsidRPr="00655C64" w:rsidRDefault="00303FB6" w:rsidP="0027750D">
      <w:pPr>
        <w:spacing w:after="0"/>
        <w:jc w:val="center"/>
        <w:rPr>
          <w:rFonts w:ascii="Times New Roman" w:hAnsi="Times New Roman" w:cs="Times New Roman"/>
          <w:i/>
          <w:iCs/>
          <w:sz w:val="24"/>
          <w:szCs w:val="24"/>
        </w:rPr>
      </w:pPr>
      <w:r w:rsidRPr="00655C64">
        <w:rPr>
          <w:rFonts w:ascii="Times New Roman" w:hAnsi="Times New Roman" w:cs="Times New Roman"/>
          <w:i/>
          <w:iCs/>
          <w:sz w:val="24"/>
          <w:szCs w:val="24"/>
        </w:rPr>
        <w:t>Etapa 04.0</w:t>
      </w:r>
      <w:r w:rsidR="005D235D" w:rsidRPr="00655C64">
        <w:rPr>
          <w:rFonts w:ascii="Times New Roman" w:hAnsi="Times New Roman" w:cs="Times New Roman"/>
          <w:i/>
          <w:iCs/>
          <w:sz w:val="24"/>
          <w:szCs w:val="24"/>
        </w:rPr>
        <w:t>2</w:t>
      </w:r>
      <w:r w:rsidR="006F50B3" w:rsidRPr="00655C64">
        <w:rPr>
          <w:rFonts w:ascii="Times New Roman" w:hAnsi="Times New Roman" w:cs="Times New Roman"/>
          <w:i/>
          <w:iCs/>
          <w:sz w:val="24"/>
          <w:szCs w:val="24"/>
        </w:rPr>
        <w:t xml:space="preserve"> – </w:t>
      </w:r>
      <w:r w:rsidR="005D235D" w:rsidRPr="00655C64">
        <w:rPr>
          <w:rFonts w:ascii="Times New Roman" w:hAnsi="Times New Roman" w:cs="Times New Roman"/>
          <w:i/>
          <w:iCs/>
          <w:sz w:val="24"/>
          <w:szCs w:val="24"/>
        </w:rPr>
        <w:t>Análise da sazonalidade</w:t>
      </w:r>
      <w:r w:rsidR="008232B0" w:rsidRPr="00655C64">
        <w:rPr>
          <w:rFonts w:ascii="Times New Roman" w:hAnsi="Times New Roman" w:cs="Times New Roman"/>
          <w:i/>
          <w:iCs/>
          <w:sz w:val="24"/>
          <w:szCs w:val="24"/>
        </w:rPr>
        <w:t xml:space="preserve"> na oferta hídrica</w:t>
      </w:r>
    </w:p>
    <w:p w14:paraId="058F230E" w14:textId="2D018038" w:rsidR="00CF5581" w:rsidRPr="00655C64" w:rsidRDefault="00CF5581" w:rsidP="00B77116">
      <w:pPr>
        <w:spacing w:after="0"/>
        <w:jc w:val="center"/>
        <w:rPr>
          <w:rFonts w:ascii="Times New Roman" w:hAnsi="Times New Roman" w:cs="Times New Roman"/>
          <w:i/>
          <w:iCs/>
          <w:sz w:val="24"/>
          <w:szCs w:val="24"/>
        </w:rPr>
      </w:pPr>
    </w:p>
    <w:p w14:paraId="2E3BBB39" w14:textId="77777777" w:rsidR="00284D2C" w:rsidRPr="00655C64" w:rsidRDefault="00284D2C" w:rsidP="00CF5581">
      <w:pPr>
        <w:jc w:val="center"/>
        <w:rPr>
          <w:rFonts w:ascii="Times New Roman" w:hAnsi="Times New Roman" w:cs="Times New Roman"/>
          <w:i/>
          <w:iCs/>
          <w:sz w:val="24"/>
          <w:szCs w:val="24"/>
        </w:rPr>
      </w:pPr>
    </w:p>
    <w:p w14:paraId="06BA35CE" w14:textId="77777777" w:rsidR="00284D2C" w:rsidRPr="00655C64" w:rsidRDefault="00284D2C" w:rsidP="00CF5581">
      <w:pPr>
        <w:jc w:val="center"/>
        <w:rPr>
          <w:rFonts w:ascii="Times New Roman" w:hAnsi="Times New Roman" w:cs="Times New Roman"/>
          <w:i/>
          <w:iCs/>
          <w:sz w:val="24"/>
          <w:szCs w:val="24"/>
        </w:rPr>
      </w:pPr>
    </w:p>
    <w:p w14:paraId="408B379A" w14:textId="77777777" w:rsidR="00284D2C" w:rsidRPr="00655C64" w:rsidRDefault="00284D2C" w:rsidP="00CF5581">
      <w:pPr>
        <w:jc w:val="center"/>
        <w:rPr>
          <w:rFonts w:ascii="Times New Roman" w:hAnsi="Times New Roman" w:cs="Times New Roman"/>
          <w:i/>
          <w:iCs/>
          <w:sz w:val="24"/>
          <w:szCs w:val="24"/>
        </w:rPr>
      </w:pPr>
    </w:p>
    <w:p w14:paraId="4A12DB68" w14:textId="77777777" w:rsidR="00284D2C" w:rsidRPr="00655C64" w:rsidRDefault="00284D2C" w:rsidP="00CF5581">
      <w:pPr>
        <w:jc w:val="center"/>
        <w:rPr>
          <w:rFonts w:ascii="Times New Roman" w:hAnsi="Times New Roman" w:cs="Times New Roman"/>
          <w:i/>
          <w:iCs/>
          <w:sz w:val="24"/>
          <w:szCs w:val="24"/>
        </w:rPr>
      </w:pPr>
    </w:p>
    <w:p w14:paraId="27D73B45" w14:textId="77777777" w:rsidR="00284D2C" w:rsidRPr="00655C64" w:rsidRDefault="00284D2C" w:rsidP="00CF5581">
      <w:pPr>
        <w:jc w:val="center"/>
        <w:rPr>
          <w:rFonts w:ascii="Times New Roman" w:hAnsi="Times New Roman" w:cs="Times New Roman"/>
          <w:i/>
          <w:iCs/>
          <w:sz w:val="24"/>
          <w:szCs w:val="24"/>
        </w:rPr>
      </w:pPr>
    </w:p>
    <w:p w14:paraId="14C1960E" w14:textId="77777777" w:rsidR="00284D2C" w:rsidRPr="00655C64" w:rsidRDefault="00284D2C" w:rsidP="00CF5581">
      <w:pPr>
        <w:jc w:val="center"/>
        <w:rPr>
          <w:rFonts w:ascii="Times New Roman" w:hAnsi="Times New Roman" w:cs="Times New Roman"/>
          <w:i/>
          <w:iCs/>
          <w:sz w:val="24"/>
          <w:szCs w:val="24"/>
        </w:rPr>
      </w:pPr>
    </w:p>
    <w:p w14:paraId="44701D82" w14:textId="77777777" w:rsidR="00284D2C" w:rsidRPr="00655C64" w:rsidRDefault="00284D2C" w:rsidP="00CF5581">
      <w:pPr>
        <w:jc w:val="center"/>
        <w:rPr>
          <w:rFonts w:ascii="Times New Roman" w:hAnsi="Times New Roman" w:cs="Times New Roman"/>
          <w:i/>
          <w:iCs/>
          <w:sz w:val="24"/>
          <w:szCs w:val="24"/>
        </w:rPr>
      </w:pPr>
    </w:p>
    <w:p w14:paraId="7C9CD8DE" w14:textId="77777777" w:rsidR="00CB106A" w:rsidRPr="00655C64" w:rsidRDefault="00CB106A" w:rsidP="00CF5581">
      <w:pPr>
        <w:jc w:val="center"/>
        <w:rPr>
          <w:rFonts w:ascii="Times New Roman" w:hAnsi="Times New Roman" w:cs="Times New Roman"/>
          <w:i/>
          <w:iCs/>
          <w:sz w:val="24"/>
          <w:szCs w:val="24"/>
        </w:rPr>
      </w:pPr>
    </w:p>
    <w:p w14:paraId="7412F6D2" w14:textId="77777777" w:rsidR="00CB106A" w:rsidRPr="00655C64" w:rsidRDefault="00CB106A" w:rsidP="00CF5581">
      <w:pPr>
        <w:jc w:val="center"/>
        <w:rPr>
          <w:rFonts w:ascii="Times New Roman" w:hAnsi="Times New Roman" w:cs="Times New Roman"/>
          <w:i/>
          <w:iCs/>
          <w:sz w:val="24"/>
          <w:szCs w:val="24"/>
        </w:rPr>
      </w:pPr>
    </w:p>
    <w:p w14:paraId="0742B129" w14:textId="77777777" w:rsidR="00CB106A" w:rsidRPr="00655C64" w:rsidRDefault="00CB106A" w:rsidP="00CF5581">
      <w:pPr>
        <w:jc w:val="center"/>
        <w:rPr>
          <w:rFonts w:ascii="Times New Roman" w:hAnsi="Times New Roman" w:cs="Times New Roman"/>
          <w:i/>
          <w:iCs/>
          <w:sz w:val="24"/>
          <w:szCs w:val="24"/>
        </w:rPr>
      </w:pPr>
    </w:p>
    <w:p w14:paraId="7F1FED74" w14:textId="77777777" w:rsidR="00CB106A" w:rsidRPr="00655C64" w:rsidRDefault="00CB106A" w:rsidP="00CF5581">
      <w:pPr>
        <w:jc w:val="center"/>
        <w:rPr>
          <w:rFonts w:ascii="Times New Roman" w:hAnsi="Times New Roman" w:cs="Times New Roman"/>
          <w:i/>
          <w:iCs/>
          <w:sz w:val="24"/>
          <w:szCs w:val="24"/>
        </w:rPr>
      </w:pPr>
    </w:p>
    <w:p w14:paraId="7654611D" w14:textId="77777777" w:rsidR="00CB106A" w:rsidRPr="00655C64" w:rsidRDefault="00CB106A" w:rsidP="00CF5581">
      <w:pPr>
        <w:jc w:val="center"/>
        <w:rPr>
          <w:rFonts w:ascii="Times New Roman" w:hAnsi="Times New Roman" w:cs="Times New Roman"/>
          <w:i/>
          <w:iCs/>
          <w:sz w:val="24"/>
          <w:szCs w:val="24"/>
        </w:rPr>
      </w:pPr>
    </w:p>
    <w:p w14:paraId="2FCC14C3" w14:textId="77777777" w:rsidR="00CB106A" w:rsidRPr="00655C64" w:rsidRDefault="00CB106A" w:rsidP="00CF5581">
      <w:pPr>
        <w:jc w:val="center"/>
        <w:rPr>
          <w:rFonts w:ascii="Times New Roman" w:hAnsi="Times New Roman" w:cs="Times New Roman"/>
          <w:i/>
          <w:iCs/>
          <w:sz w:val="24"/>
          <w:szCs w:val="24"/>
        </w:rPr>
      </w:pPr>
    </w:p>
    <w:p w14:paraId="4F8655AB" w14:textId="77777777" w:rsidR="00CB106A" w:rsidRPr="00655C64" w:rsidRDefault="00CB106A" w:rsidP="00CF5581">
      <w:pPr>
        <w:jc w:val="center"/>
        <w:rPr>
          <w:rFonts w:ascii="Times New Roman" w:hAnsi="Times New Roman" w:cs="Times New Roman"/>
          <w:i/>
          <w:iCs/>
          <w:sz w:val="24"/>
          <w:szCs w:val="24"/>
        </w:rPr>
      </w:pPr>
    </w:p>
    <w:p w14:paraId="3492EB34" w14:textId="467E9BD7" w:rsidR="00EC7077" w:rsidRPr="00655C64" w:rsidRDefault="00E25E9F" w:rsidP="00CB106A">
      <w:pPr>
        <w:jc w:val="center"/>
        <w:rPr>
          <w:rFonts w:ascii="Times New Roman" w:hAnsi="Times New Roman" w:cs="Times New Roman"/>
          <w:sz w:val="24"/>
          <w:szCs w:val="24"/>
        </w:rPr>
        <w:sectPr w:rsidR="00EC7077" w:rsidRPr="00655C64" w:rsidSect="00D8197C">
          <w:pgSz w:w="11906" w:h="16838"/>
          <w:pgMar w:top="1440" w:right="1440" w:bottom="1440" w:left="1440" w:header="708" w:footer="708" w:gutter="0"/>
          <w:cols w:space="708"/>
          <w:docGrid w:linePitch="360"/>
        </w:sectPr>
      </w:pPr>
      <w:r w:rsidRPr="00655C64">
        <w:rPr>
          <w:rFonts w:ascii="Times New Roman" w:hAnsi="Times New Roman" w:cs="Times New Roman"/>
          <w:sz w:val="24"/>
          <w:szCs w:val="24"/>
        </w:rPr>
        <w:t>Maio</w:t>
      </w:r>
      <w:r w:rsidR="00284D2C" w:rsidRPr="00655C64">
        <w:rPr>
          <w:rFonts w:ascii="Times New Roman" w:hAnsi="Times New Roman" w:cs="Times New Roman"/>
          <w:sz w:val="24"/>
          <w:szCs w:val="24"/>
        </w:rPr>
        <w:t xml:space="preserve"> de 202</w:t>
      </w:r>
      <w:r w:rsidRPr="00655C64">
        <w:rPr>
          <w:rFonts w:ascii="Times New Roman" w:hAnsi="Times New Roman" w:cs="Times New Roman"/>
          <w:sz w:val="24"/>
          <w:szCs w:val="24"/>
        </w:rPr>
        <w:t>5</w:t>
      </w:r>
    </w:p>
    <w:p w14:paraId="3757FFEF" w14:textId="4FF5982F" w:rsidR="007B2E69" w:rsidRPr="00655C64" w:rsidRDefault="00C4654D" w:rsidP="00C14DC2">
      <w:pPr>
        <w:numPr>
          <w:ilvl w:val="0"/>
          <w:numId w:val="1"/>
        </w:numPr>
        <w:ind w:left="308" w:hanging="294"/>
        <w:rPr>
          <w:rFonts w:ascii="Times New Roman" w:eastAsia="Times New Roman" w:hAnsi="Times New Roman" w:cs="Times New Roman"/>
          <w:b/>
          <w:kern w:val="0"/>
          <w:sz w:val="24"/>
          <w:szCs w:val="24"/>
          <w:lang w:eastAsia="pt-BR"/>
          <w14:ligatures w14:val="none"/>
        </w:rPr>
      </w:pPr>
      <w:r w:rsidRPr="00655C64">
        <w:rPr>
          <w:rFonts w:ascii="Times New Roman" w:eastAsia="Times New Roman" w:hAnsi="Times New Roman" w:cs="Times New Roman"/>
          <w:b/>
          <w:kern w:val="0"/>
          <w:sz w:val="24"/>
          <w:szCs w:val="24"/>
          <w:lang w:eastAsia="pt-BR"/>
          <w14:ligatures w14:val="none"/>
        </w:rPr>
        <w:lastRenderedPageBreak/>
        <w:t>Introdução</w:t>
      </w:r>
    </w:p>
    <w:p w14:paraId="67EBFC0E" w14:textId="77777777" w:rsidR="007B2E69" w:rsidRPr="00655C64" w:rsidRDefault="007B2E69" w:rsidP="004004CD">
      <w:pPr>
        <w:spacing w:line="360" w:lineRule="auto"/>
        <w:ind w:firstLine="505"/>
        <w:jc w:val="both"/>
        <w:rPr>
          <w:rFonts w:ascii="Times New Roman" w:hAnsi="Times New Roman" w:cs="Times New Roman"/>
          <w:sz w:val="24"/>
          <w:szCs w:val="24"/>
        </w:rPr>
      </w:pPr>
    </w:p>
    <w:p w14:paraId="4A0DEC81" w14:textId="77777777" w:rsidR="00DB221B" w:rsidRPr="00655C64" w:rsidRDefault="00DB221B" w:rsidP="00DB221B">
      <w:pPr>
        <w:tabs>
          <w:tab w:val="left" w:pos="284"/>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 xml:space="preserve">Nas últimas décadas, a demanda por água para diferentes finalidades tem aumentado consideravelmente. Esse crescimento elevou a competição entre os usuários, impulsionado por fatores como o aumento populacional, alterações na disponibilidade hídrica ao longo do tempo e das regiões, mudanças nas condições naturais e a deterioração da qualidade dos recursos hídricos (Ramos </w:t>
      </w:r>
      <w:r w:rsidRPr="00655C64">
        <w:rPr>
          <w:rFonts w:ascii="Times New Roman" w:hAnsi="Times New Roman" w:cs="Times New Roman"/>
          <w:i/>
          <w:iCs/>
          <w:sz w:val="24"/>
          <w:szCs w:val="24"/>
        </w:rPr>
        <w:t>et al.</w:t>
      </w:r>
      <w:r w:rsidRPr="00655C64">
        <w:rPr>
          <w:rFonts w:ascii="Times New Roman" w:hAnsi="Times New Roman" w:cs="Times New Roman"/>
          <w:sz w:val="24"/>
          <w:szCs w:val="24"/>
        </w:rPr>
        <w:t>, 2017). Dos setores usuários, a agricultura é responsável pela maior parte do consumo dos recursos hídricos (</w:t>
      </w:r>
      <w:proofErr w:type="spellStart"/>
      <w:r w:rsidRPr="00655C64">
        <w:rPr>
          <w:rFonts w:ascii="Times New Roman" w:hAnsi="Times New Roman" w:cs="Times New Roman"/>
          <w:sz w:val="24"/>
          <w:szCs w:val="24"/>
        </w:rPr>
        <w:t>Xu</w:t>
      </w:r>
      <w:proofErr w:type="spellEnd"/>
      <w:r w:rsidRPr="00655C64">
        <w:rPr>
          <w:rFonts w:ascii="Times New Roman" w:hAnsi="Times New Roman" w:cs="Times New Roman"/>
          <w:sz w:val="24"/>
          <w:szCs w:val="24"/>
        </w:rPr>
        <w:t xml:space="preserve"> </w:t>
      </w:r>
      <w:r w:rsidRPr="00655C64">
        <w:rPr>
          <w:rFonts w:ascii="Times New Roman" w:hAnsi="Times New Roman" w:cs="Times New Roman"/>
          <w:i/>
          <w:iCs/>
          <w:sz w:val="24"/>
          <w:szCs w:val="24"/>
        </w:rPr>
        <w:t>et al.</w:t>
      </w:r>
      <w:r w:rsidRPr="00655C64">
        <w:rPr>
          <w:rFonts w:ascii="Times New Roman" w:hAnsi="Times New Roman" w:cs="Times New Roman"/>
          <w:sz w:val="24"/>
          <w:szCs w:val="24"/>
        </w:rPr>
        <w:t>, 2023).</w:t>
      </w:r>
    </w:p>
    <w:p w14:paraId="1336F113" w14:textId="77777777" w:rsidR="00DB221B" w:rsidRPr="00655C64" w:rsidRDefault="00DB221B" w:rsidP="00DB221B">
      <w:pPr>
        <w:tabs>
          <w:tab w:val="left" w:pos="284"/>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O gerenciamento dos recursos hídricos é de suma importância para promover o uso adequado desses recursos, com o objetivo de promover o bem-estar econômico e social de maneira justa, garantindo a preservação e a sustentabilidade dos ecossistemas. Assim, um dos principais instrumentos de gestão dos recursos hídricos no Brasil é a outorga dos direitos de uso de recursos hídricos. Esse instrumento permite ao possuidor o direito de utilizar uma quantidade específica de água, de acordo com a disponibilidade hídrica da bacia hidrográfica. Essa concessão permite ao órgão responsável monitorar e controlar tanto a quantidade quanto a qualidade da água utilizada, assegurando ao usuário o direito de uso de maneira exclusiva e intransferível (Silva</w:t>
      </w:r>
      <w:r w:rsidRPr="00655C64">
        <w:rPr>
          <w:rFonts w:ascii="Times New Roman" w:hAnsi="Times New Roman" w:cs="Times New Roman"/>
          <w:i/>
          <w:sz w:val="24"/>
          <w:szCs w:val="24"/>
        </w:rPr>
        <w:t xml:space="preserve"> et al.</w:t>
      </w:r>
      <w:r w:rsidRPr="00655C64">
        <w:rPr>
          <w:rFonts w:ascii="Times New Roman" w:hAnsi="Times New Roman" w:cs="Times New Roman"/>
          <w:sz w:val="24"/>
          <w:szCs w:val="24"/>
        </w:rPr>
        <w:t>, 2015a).</w:t>
      </w:r>
    </w:p>
    <w:p w14:paraId="3DCB2212" w14:textId="77777777" w:rsidR="00DB221B" w:rsidRPr="00655C64" w:rsidRDefault="00DB221B" w:rsidP="00DB221B">
      <w:pPr>
        <w:tabs>
          <w:tab w:val="left" w:pos="284"/>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 xml:space="preserve">Assim, os órgãos responsáveis pela gestão dos recursos hídricos adotam a vazão mínima de referência como critério para avaliar os pedidos de outorga. Essa vazão tem influência direta sobre a quantidade de água passível de concessão para uso, representando um instrumento eficaz na proteção dos corpos hídricos. Isso ocorre porque as alocações para captação geralmente são baseadas em vazões de referência associadas a baixos riscos, assegurando a manutenção de condições mínimas nos cursos d’água (Silva </w:t>
      </w:r>
      <w:r w:rsidRPr="00655C64">
        <w:rPr>
          <w:rFonts w:ascii="Times New Roman" w:hAnsi="Times New Roman" w:cs="Times New Roman"/>
          <w:i/>
          <w:iCs/>
          <w:sz w:val="24"/>
          <w:szCs w:val="24"/>
        </w:rPr>
        <w:t>et al.</w:t>
      </w:r>
      <w:r w:rsidRPr="00655C64">
        <w:rPr>
          <w:rFonts w:ascii="Times New Roman" w:hAnsi="Times New Roman" w:cs="Times New Roman"/>
          <w:sz w:val="24"/>
          <w:szCs w:val="24"/>
        </w:rPr>
        <w:t>, 2006). No Brasil, cada estado e o governo federal adotam critérios próprios para definir as vazões mínimas de referência para outorga, porém, não apresentam explicações sobre a escolha desses valores (Cruz, 2001).</w:t>
      </w:r>
    </w:p>
    <w:p w14:paraId="34E6E0E9" w14:textId="77777777" w:rsidR="00DB221B" w:rsidRPr="00655C64" w:rsidRDefault="00DB221B" w:rsidP="00DB221B">
      <w:pPr>
        <w:tabs>
          <w:tab w:val="left" w:pos="284"/>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A vazão mínima de referência, a exemplo da vazão de permanência com 95% no tempo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quando calculada considerando como base o período anual, desconsidera as especificidades de maior disponibilidade hídrica no período chuvoso, bem como de menor disponibilidade no período seco. Valores menores da vazão mínima de referência reduzem o risco ambiental, entretanto, nos meses em que os corpos hídricos possuem maior disponibilidade hídrica impede o uso mais adequado da água (</w:t>
      </w:r>
      <w:proofErr w:type="spellStart"/>
      <w:r w:rsidRPr="00655C64">
        <w:rPr>
          <w:rFonts w:ascii="Times New Roman" w:hAnsi="Times New Roman" w:cs="Times New Roman"/>
          <w:sz w:val="24"/>
          <w:szCs w:val="24"/>
        </w:rPr>
        <w:t>Pruski</w:t>
      </w:r>
      <w:proofErr w:type="spellEnd"/>
      <w:r w:rsidRPr="00655C64">
        <w:rPr>
          <w:rFonts w:ascii="Times New Roman" w:hAnsi="Times New Roman" w:cs="Times New Roman"/>
          <w:sz w:val="24"/>
          <w:szCs w:val="24"/>
        </w:rPr>
        <w:t xml:space="preserve"> </w:t>
      </w:r>
      <w:r w:rsidRPr="00655C64">
        <w:rPr>
          <w:rFonts w:ascii="Times New Roman" w:hAnsi="Times New Roman" w:cs="Times New Roman"/>
          <w:i/>
          <w:iCs/>
          <w:sz w:val="24"/>
          <w:szCs w:val="24"/>
        </w:rPr>
        <w:t>et al.</w:t>
      </w:r>
      <w:r w:rsidRPr="00655C64">
        <w:rPr>
          <w:rFonts w:ascii="Times New Roman" w:hAnsi="Times New Roman" w:cs="Times New Roman"/>
          <w:sz w:val="24"/>
          <w:szCs w:val="24"/>
        </w:rPr>
        <w:t xml:space="preserve">, 2014), impactando </w:t>
      </w:r>
      <w:r w:rsidRPr="00655C64">
        <w:rPr>
          <w:rFonts w:ascii="Times New Roman" w:hAnsi="Times New Roman" w:cs="Times New Roman"/>
          <w:sz w:val="24"/>
          <w:szCs w:val="24"/>
        </w:rPr>
        <w:lastRenderedPageBreak/>
        <w:t>diretamente nos diferentes tipos de usuários e nas atividades econômicas por eles desenvolvidos (Silva</w:t>
      </w:r>
      <w:r w:rsidRPr="00655C64">
        <w:rPr>
          <w:rFonts w:ascii="Times New Roman" w:hAnsi="Times New Roman" w:cs="Times New Roman"/>
          <w:i/>
          <w:sz w:val="24"/>
          <w:szCs w:val="24"/>
        </w:rPr>
        <w:t xml:space="preserve"> et al.</w:t>
      </w:r>
      <w:r w:rsidRPr="00655C64">
        <w:rPr>
          <w:rFonts w:ascii="Times New Roman" w:hAnsi="Times New Roman" w:cs="Times New Roman"/>
          <w:sz w:val="24"/>
          <w:szCs w:val="24"/>
        </w:rPr>
        <w:t>, 2015a).</w:t>
      </w:r>
    </w:p>
    <w:p w14:paraId="6E40F513" w14:textId="1C9798A6" w:rsidR="00D60986" w:rsidRPr="00655C64" w:rsidRDefault="00DB221B" w:rsidP="00DB221B">
      <w:pPr>
        <w:spacing w:line="360" w:lineRule="auto"/>
        <w:ind w:firstLine="505"/>
        <w:jc w:val="both"/>
        <w:rPr>
          <w:rFonts w:ascii="Times New Roman" w:hAnsi="Times New Roman" w:cs="Times New Roman"/>
          <w:sz w:val="24"/>
          <w:szCs w:val="24"/>
        </w:rPr>
      </w:pPr>
      <w:r w:rsidRPr="00655C64">
        <w:rPr>
          <w:rFonts w:ascii="Times New Roman" w:hAnsi="Times New Roman" w:cs="Times New Roman"/>
          <w:sz w:val="24"/>
          <w:szCs w:val="24"/>
        </w:rPr>
        <w:t xml:space="preserve">Nesse sentido, a avaliação quantitativa sazonal da disponibilidade de água permite ampliar as oportunidades de sua utilização, uma vez que as vazões mínimas de referência poderiam ser calculadas, por exemplo, considerando o período mensal. Considerando a necessidade e uma melhor gestão dos recursos hídricos, </w:t>
      </w:r>
      <w:r w:rsidR="009E7CB0" w:rsidRPr="00655C64">
        <w:rPr>
          <w:rFonts w:ascii="Times New Roman" w:hAnsi="Times New Roman" w:cs="Times New Roman"/>
          <w:sz w:val="24"/>
          <w:szCs w:val="24"/>
        </w:rPr>
        <w:t xml:space="preserve">esta etapa do projeto foi desenvolvida </w:t>
      </w:r>
      <w:r w:rsidR="0055704D" w:rsidRPr="00655C64">
        <w:rPr>
          <w:rFonts w:ascii="Times New Roman" w:hAnsi="Times New Roman" w:cs="Times New Roman"/>
          <w:sz w:val="24"/>
          <w:szCs w:val="24"/>
        </w:rPr>
        <w:t xml:space="preserve">com </w:t>
      </w:r>
      <w:r w:rsidRPr="00655C64">
        <w:rPr>
          <w:rFonts w:ascii="Times New Roman" w:hAnsi="Times New Roman" w:cs="Times New Roman"/>
          <w:sz w:val="24"/>
          <w:szCs w:val="24"/>
        </w:rPr>
        <w:t xml:space="preserve">o objetivo </w:t>
      </w:r>
      <w:r w:rsidR="0055704D" w:rsidRPr="00655C64">
        <w:rPr>
          <w:rFonts w:ascii="Times New Roman" w:hAnsi="Times New Roman" w:cs="Times New Roman"/>
          <w:sz w:val="24"/>
          <w:szCs w:val="24"/>
        </w:rPr>
        <w:t xml:space="preserve">de </w:t>
      </w:r>
      <w:r w:rsidRPr="00655C64">
        <w:rPr>
          <w:rFonts w:ascii="Times New Roman" w:hAnsi="Times New Roman" w:cs="Times New Roman"/>
          <w:sz w:val="24"/>
          <w:szCs w:val="24"/>
        </w:rPr>
        <w:t>analisar a sazonalidade das vazões de referência como fator de flexibilização das vazões outorgáveis no Estado de Mato Grosso.</w:t>
      </w:r>
    </w:p>
    <w:p w14:paraId="54959ADD" w14:textId="77777777" w:rsidR="001C7238" w:rsidRDefault="001C7238" w:rsidP="004004CD">
      <w:pPr>
        <w:spacing w:line="360" w:lineRule="auto"/>
        <w:ind w:firstLine="505"/>
        <w:jc w:val="both"/>
        <w:rPr>
          <w:rFonts w:ascii="Times New Roman" w:eastAsia="Times New Roman" w:hAnsi="Times New Roman" w:cs="Times New Roman"/>
          <w:b/>
          <w:sz w:val="24"/>
          <w:szCs w:val="24"/>
        </w:rPr>
      </w:pPr>
    </w:p>
    <w:p w14:paraId="57536F80" w14:textId="77777777" w:rsidR="000E3B4F" w:rsidRPr="00655C64" w:rsidRDefault="000E3B4F" w:rsidP="004004CD">
      <w:pPr>
        <w:spacing w:line="360" w:lineRule="auto"/>
        <w:ind w:firstLine="505"/>
        <w:jc w:val="both"/>
        <w:rPr>
          <w:rFonts w:ascii="Times New Roman" w:eastAsia="Times New Roman" w:hAnsi="Times New Roman" w:cs="Times New Roman"/>
          <w:b/>
          <w:sz w:val="24"/>
          <w:szCs w:val="24"/>
        </w:rPr>
      </w:pPr>
    </w:p>
    <w:p w14:paraId="13E70F52" w14:textId="4080FC81" w:rsidR="001C7238" w:rsidRPr="00655C64" w:rsidRDefault="001126FF" w:rsidP="00C14DC2">
      <w:pPr>
        <w:numPr>
          <w:ilvl w:val="0"/>
          <w:numId w:val="1"/>
        </w:numPr>
        <w:ind w:left="308" w:hanging="294"/>
        <w:rPr>
          <w:rFonts w:ascii="Times New Roman" w:eastAsia="Times New Roman" w:hAnsi="Times New Roman" w:cs="Times New Roman"/>
          <w:b/>
          <w:kern w:val="0"/>
          <w:sz w:val="24"/>
          <w:szCs w:val="24"/>
          <w:lang w:eastAsia="pt-BR"/>
          <w14:ligatures w14:val="none"/>
        </w:rPr>
      </w:pPr>
      <w:r w:rsidRPr="00655C64">
        <w:rPr>
          <w:rFonts w:ascii="Times New Roman" w:eastAsia="Times New Roman" w:hAnsi="Times New Roman" w:cs="Times New Roman"/>
          <w:b/>
          <w:kern w:val="0"/>
          <w:sz w:val="24"/>
          <w:szCs w:val="24"/>
          <w:lang w:eastAsia="pt-BR"/>
          <w14:ligatures w14:val="none"/>
        </w:rPr>
        <w:t>Metodologia</w:t>
      </w:r>
    </w:p>
    <w:p w14:paraId="7FDBB95E" w14:textId="77777777" w:rsidR="007B2E69" w:rsidRPr="00655C64" w:rsidRDefault="007B2E69" w:rsidP="007B2E69">
      <w:pPr>
        <w:ind w:left="720"/>
        <w:rPr>
          <w:rFonts w:ascii="Times New Roman" w:eastAsia="Times New Roman" w:hAnsi="Times New Roman" w:cs="Times New Roman"/>
          <w:b/>
          <w:kern w:val="0"/>
          <w:sz w:val="24"/>
          <w:szCs w:val="24"/>
          <w:lang w:eastAsia="pt-BR"/>
          <w14:ligatures w14:val="none"/>
        </w:rPr>
      </w:pPr>
    </w:p>
    <w:p w14:paraId="6E71B8BD" w14:textId="104065A1" w:rsidR="008078C1" w:rsidRPr="00655C64" w:rsidRDefault="008078C1" w:rsidP="00C14DC2">
      <w:pPr>
        <w:numPr>
          <w:ilvl w:val="1"/>
          <w:numId w:val="1"/>
        </w:numPr>
        <w:ind w:left="434" w:hanging="434"/>
        <w:rPr>
          <w:rFonts w:ascii="Times New Roman" w:eastAsia="Times New Roman" w:hAnsi="Times New Roman" w:cs="Times New Roman"/>
          <w:b/>
          <w:kern w:val="0"/>
          <w:sz w:val="24"/>
          <w:szCs w:val="24"/>
          <w:lang w:eastAsia="pt-BR"/>
          <w14:ligatures w14:val="none"/>
        </w:rPr>
      </w:pPr>
      <w:r w:rsidRPr="00655C64">
        <w:rPr>
          <w:rFonts w:ascii="Times New Roman" w:eastAsia="Times New Roman" w:hAnsi="Times New Roman" w:cs="Times New Roman"/>
          <w:b/>
          <w:kern w:val="0"/>
          <w:sz w:val="24"/>
          <w:szCs w:val="24"/>
          <w:lang w:eastAsia="pt-BR"/>
          <w14:ligatures w14:val="none"/>
        </w:rPr>
        <w:t>Área de estudo</w:t>
      </w:r>
    </w:p>
    <w:p w14:paraId="737F2CE1" w14:textId="77777777" w:rsidR="00C14DC2" w:rsidRDefault="00C14DC2" w:rsidP="008078C1">
      <w:pPr>
        <w:tabs>
          <w:tab w:val="left" w:pos="284"/>
          <w:tab w:val="left" w:pos="567"/>
        </w:tabs>
        <w:spacing w:line="360" w:lineRule="auto"/>
        <w:ind w:firstLine="567"/>
        <w:jc w:val="both"/>
        <w:rPr>
          <w:rFonts w:ascii="Times New Roman" w:hAnsi="Times New Roman" w:cs="Times New Roman"/>
          <w:sz w:val="24"/>
          <w:szCs w:val="24"/>
        </w:rPr>
      </w:pPr>
    </w:p>
    <w:p w14:paraId="1BC90E8B" w14:textId="0834FA9E" w:rsidR="008078C1" w:rsidRPr="00655C64" w:rsidRDefault="008078C1" w:rsidP="008078C1">
      <w:pPr>
        <w:tabs>
          <w:tab w:val="left" w:pos="284"/>
          <w:tab w:val="left" w:pos="567"/>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A área de estudo corresponde ao Estado de Mato Grosso (Figura 1), localizado na região Centro-Oeste do Brasil. Com uma extensão territorial de 903.208,36 km</w:t>
      </w:r>
      <w:r w:rsidRPr="00655C64">
        <w:rPr>
          <w:rFonts w:ascii="Times New Roman" w:hAnsi="Times New Roman" w:cs="Times New Roman"/>
          <w:sz w:val="24"/>
          <w:szCs w:val="24"/>
          <w:vertAlign w:val="superscript"/>
        </w:rPr>
        <w:t>2</w:t>
      </w:r>
      <w:r w:rsidRPr="00655C64">
        <w:rPr>
          <w:rFonts w:ascii="Times New Roman" w:hAnsi="Times New Roman" w:cs="Times New Roman"/>
          <w:sz w:val="24"/>
          <w:szCs w:val="24"/>
        </w:rPr>
        <w:t>, é o terceiro maior estado do país em termos de área, possuindo 142 municípios (CNM, 2023; IBGE, 2022). Geograficamente, Mato Grosso faz fronteira com os estados do Amazonas, Pará, Tocantins, Goiás, Mato Grosso do Sul, Rondônia, além de fazer divisa internacional com a Bolívia.</w:t>
      </w:r>
    </w:p>
    <w:p w14:paraId="0B3FA2EC" w14:textId="77777777" w:rsidR="008078C1" w:rsidRPr="00655C64" w:rsidRDefault="008078C1" w:rsidP="008078C1">
      <w:pPr>
        <w:tabs>
          <w:tab w:val="left" w:pos="284"/>
          <w:tab w:val="left" w:pos="567"/>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O estado de Mato Grosso está inserido em três importantes regiões hidrográficas brasileiras, segundo a classificação da Agência Nacional de Águas e Saneamento Básico (ANA): Amazônica, Paraguai e Tocantins-Araguaia.</w:t>
      </w:r>
    </w:p>
    <w:p w14:paraId="2359E298" w14:textId="77777777" w:rsidR="008078C1" w:rsidRPr="00655C64" w:rsidRDefault="008078C1" w:rsidP="008078C1">
      <w:pPr>
        <w:tabs>
          <w:tab w:val="left" w:pos="284"/>
          <w:tab w:val="left" w:pos="567"/>
        </w:tabs>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 xml:space="preserve">Na região Centro-Oeste, onde está localizado o estado de Mato Grosso, predomina um clima caracterizado por duas estações bem definidas: uma estação chuvosa nos períodos mais quentes do ano e uma estação seca nos meses mais frios, com redução significativa da pluviosidade. A temperatura média na região varia de 21,1 °C, no extremo sul do Mato Grosso do Sul, até 26 °C, no estado de Mato Grosso e no extremo norte de Goiás. O regime de precipitações é tipicamente tropical, com maior concentração de chuvas no verão e uma marcada redução no inverno. Em quase toda a região Centro-Oeste, mais de 70% do total anual de chuvas ocorre entre os meses de novembro e março (Barros; </w:t>
      </w:r>
      <w:proofErr w:type="spellStart"/>
      <w:r w:rsidRPr="00655C64">
        <w:rPr>
          <w:rFonts w:ascii="Times New Roman" w:hAnsi="Times New Roman" w:cs="Times New Roman"/>
          <w:sz w:val="24"/>
          <w:szCs w:val="24"/>
        </w:rPr>
        <w:t>Balero</w:t>
      </w:r>
      <w:proofErr w:type="spellEnd"/>
      <w:r w:rsidRPr="00655C64">
        <w:rPr>
          <w:rFonts w:ascii="Times New Roman" w:hAnsi="Times New Roman" w:cs="Times New Roman"/>
          <w:sz w:val="24"/>
          <w:szCs w:val="24"/>
        </w:rPr>
        <w:t>, 2012).</w:t>
      </w:r>
    </w:p>
    <w:p w14:paraId="2F1D2FA1" w14:textId="77777777" w:rsidR="008078C1" w:rsidRPr="00655C64" w:rsidRDefault="008078C1" w:rsidP="008078C1">
      <w:pPr>
        <w:jc w:val="center"/>
        <w:rPr>
          <w:rFonts w:ascii="Times New Roman" w:hAnsi="Times New Roman" w:cs="Times New Roman"/>
          <w:sz w:val="24"/>
          <w:szCs w:val="24"/>
        </w:rPr>
      </w:pPr>
      <w:r w:rsidRPr="00655C64">
        <w:rPr>
          <w:rFonts w:ascii="Times New Roman" w:hAnsi="Times New Roman" w:cs="Times New Roman"/>
          <w:noProof/>
          <w:sz w:val="24"/>
          <w:szCs w:val="24"/>
        </w:rPr>
        <w:lastRenderedPageBreak/>
        <w:drawing>
          <wp:inline distT="0" distB="0" distL="0" distR="0" wp14:anchorId="3BE43540" wp14:editId="1A234D62">
            <wp:extent cx="5521328" cy="3780000"/>
            <wp:effectExtent l="0" t="0" r="3175" b="0"/>
            <wp:docPr id="1452540613" name="Imagem 1"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40613" name="Imagem 1" descr="Mapa&#10;&#10;O conteúdo gerado por IA pode estar incorreto."/>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5521328" cy="3780000"/>
                    </a:xfrm>
                    <a:prstGeom prst="rect">
                      <a:avLst/>
                    </a:prstGeom>
                    <a:ln>
                      <a:noFill/>
                    </a:ln>
                    <a:extLst>
                      <a:ext uri="{53640926-AAD7-44D8-BBD7-CCE9431645EC}">
                        <a14:shadowObscured xmlns:a14="http://schemas.microsoft.com/office/drawing/2010/main"/>
                      </a:ext>
                    </a:extLst>
                  </pic:spPr>
                </pic:pic>
              </a:graphicData>
            </a:graphic>
          </wp:inline>
        </w:drawing>
      </w:r>
    </w:p>
    <w:p w14:paraId="0DB8F8A7" w14:textId="189DC191" w:rsidR="008078C1" w:rsidRPr="00655C64" w:rsidRDefault="00CA331A" w:rsidP="00CA331A">
      <w:pPr>
        <w:spacing w:line="360" w:lineRule="auto"/>
        <w:jc w:val="both"/>
        <w:rPr>
          <w:rFonts w:ascii="Times New Roman" w:hAnsi="Times New Roman" w:cs="Times New Roman"/>
          <w:sz w:val="24"/>
          <w:szCs w:val="24"/>
        </w:rPr>
      </w:pPr>
      <w:r w:rsidRPr="00C34DC2">
        <w:rPr>
          <w:rFonts w:ascii="Times New Roman" w:hAnsi="Times New Roman" w:cs="Times New Roman"/>
          <w:b/>
          <w:bCs/>
          <w:sz w:val="24"/>
          <w:szCs w:val="24"/>
        </w:rPr>
        <w:t>Figura 1</w:t>
      </w:r>
      <w:r w:rsidRPr="00655C64">
        <w:rPr>
          <w:rFonts w:ascii="Times New Roman" w:hAnsi="Times New Roman" w:cs="Times New Roman"/>
          <w:sz w:val="24"/>
          <w:szCs w:val="24"/>
        </w:rPr>
        <w:t xml:space="preserve"> – Estado de Mato Grosso.</w:t>
      </w:r>
    </w:p>
    <w:p w14:paraId="0C27C4E3" w14:textId="77777777" w:rsidR="008078C1" w:rsidRPr="00655C64" w:rsidRDefault="008078C1" w:rsidP="008078C1">
      <w:pPr>
        <w:tabs>
          <w:tab w:val="left" w:pos="284"/>
          <w:tab w:val="left" w:pos="567"/>
        </w:tabs>
        <w:spacing w:line="360" w:lineRule="auto"/>
        <w:ind w:firstLine="567"/>
        <w:jc w:val="both"/>
        <w:rPr>
          <w:rFonts w:ascii="Times New Roman" w:hAnsi="Times New Roman" w:cs="Times New Roman"/>
          <w:sz w:val="24"/>
          <w:szCs w:val="24"/>
        </w:rPr>
      </w:pPr>
    </w:p>
    <w:p w14:paraId="6CB8DE00" w14:textId="5153B6BA" w:rsidR="008078C1" w:rsidRPr="00655C64" w:rsidRDefault="008078C1" w:rsidP="00C14DC2">
      <w:pPr>
        <w:numPr>
          <w:ilvl w:val="1"/>
          <w:numId w:val="1"/>
        </w:numPr>
        <w:ind w:left="434" w:hanging="434"/>
        <w:rPr>
          <w:rFonts w:ascii="Times New Roman" w:eastAsia="Times New Roman" w:hAnsi="Times New Roman" w:cs="Times New Roman"/>
          <w:b/>
          <w:kern w:val="0"/>
          <w:sz w:val="24"/>
          <w:szCs w:val="24"/>
          <w:lang w:eastAsia="pt-BR"/>
          <w14:ligatures w14:val="none"/>
        </w:rPr>
      </w:pPr>
      <w:bookmarkStart w:id="0" w:name="_nz17ul2fuupn" w:colFirst="0" w:colLast="0"/>
      <w:bookmarkEnd w:id="0"/>
      <w:r w:rsidRPr="00655C64">
        <w:rPr>
          <w:rFonts w:ascii="Times New Roman" w:eastAsia="Times New Roman" w:hAnsi="Times New Roman" w:cs="Times New Roman"/>
          <w:b/>
          <w:kern w:val="0"/>
          <w:sz w:val="24"/>
          <w:szCs w:val="24"/>
          <w:lang w:eastAsia="pt-BR"/>
          <w14:ligatures w14:val="none"/>
        </w:rPr>
        <w:t>Base de dados</w:t>
      </w:r>
    </w:p>
    <w:p w14:paraId="00A26109" w14:textId="77777777" w:rsidR="00C14DC2" w:rsidRDefault="00C14DC2" w:rsidP="008078C1">
      <w:pPr>
        <w:spacing w:line="360" w:lineRule="auto"/>
        <w:ind w:firstLine="567"/>
        <w:jc w:val="both"/>
        <w:rPr>
          <w:rFonts w:ascii="Times New Roman" w:hAnsi="Times New Roman" w:cs="Times New Roman"/>
          <w:sz w:val="24"/>
          <w:szCs w:val="24"/>
        </w:rPr>
      </w:pPr>
    </w:p>
    <w:p w14:paraId="0B29A648" w14:textId="67D8BB9D"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 xml:space="preserve">Para a escolha dos postos fluviométricos utilizados no cálculo das vazões de referência no estado de Mato Grosso, foram analisados todos os postos da Rede </w:t>
      </w:r>
      <w:proofErr w:type="spellStart"/>
      <w:r w:rsidRPr="00655C64">
        <w:rPr>
          <w:rFonts w:ascii="Times New Roman" w:hAnsi="Times New Roman" w:cs="Times New Roman"/>
          <w:sz w:val="24"/>
          <w:szCs w:val="24"/>
        </w:rPr>
        <w:t>Hidrometeorológica</w:t>
      </w:r>
      <w:proofErr w:type="spellEnd"/>
      <w:r w:rsidRPr="00655C64">
        <w:rPr>
          <w:rFonts w:ascii="Times New Roman" w:hAnsi="Times New Roman" w:cs="Times New Roman"/>
          <w:sz w:val="24"/>
          <w:szCs w:val="24"/>
        </w:rPr>
        <w:t xml:space="preserve"> Nacional, mantida pela Agência Nacional de Águas e Saneamento Básico (ANA). Foram consideradas apenas as estações que apresentavam, no mínimo, 50% de disponibilidade de dados fluviométricos durante o período-base do estudo, estabelecido entre 1990 e 2019. Ao final, foram selecionadas 73 estações fluviométricas (Figura 2).</w:t>
      </w:r>
    </w:p>
    <w:p w14:paraId="57DCCA6F" w14:textId="77777777"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Para o cálculo da vazão mínima de referência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xml:space="preserve"> - vazão de permanência em 95% do tempo) em cada estação fluviométrica foi considerado o ano hidrológico com sendo o ano civil (janeiro a dezembro), e foi feito o descarte dos anos que apresentaram mais de 5% de falhas. As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xml:space="preserve"> mensal e anual foram calculadas utilizando o software </w:t>
      </w:r>
      <w:proofErr w:type="spellStart"/>
      <w:r w:rsidRPr="00655C64">
        <w:rPr>
          <w:rFonts w:ascii="Times New Roman" w:hAnsi="Times New Roman" w:cs="Times New Roman"/>
          <w:sz w:val="24"/>
          <w:szCs w:val="24"/>
        </w:rPr>
        <w:t>Hydrology</w:t>
      </w:r>
      <w:proofErr w:type="spellEnd"/>
      <w:r w:rsidRPr="00655C64">
        <w:rPr>
          <w:rFonts w:ascii="Times New Roman" w:hAnsi="Times New Roman" w:cs="Times New Roman"/>
          <w:sz w:val="24"/>
          <w:szCs w:val="24"/>
        </w:rPr>
        <w:t xml:space="preserve"> Plus (Sistema Computacional para Estudos Meteorológicos e Hidrológicos).</w:t>
      </w:r>
    </w:p>
    <w:p w14:paraId="4C4ED998" w14:textId="77777777" w:rsidR="008078C1" w:rsidRPr="00655C64" w:rsidRDefault="008078C1" w:rsidP="008078C1">
      <w:pPr>
        <w:spacing w:line="360" w:lineRule="auto"/>
        <w:ind w:firstLine="567"/>
        <w:jc w:val="both"/>
        <w:rPr>
          <w:rFonts w:ascii="Times New Roman" w:hAnsi="Times New Roman" w:cs="Times New Roman"/>
          <w:sz w:val="24"/>
          <w:szCs w:val="24"/>
        </w:rPr>
      </w:pPr>
    </w:p>
    <w:p w14:paraId="3CB7460D" w14:textId="77777777" w:rsidR="008078C1" w:rsidRPr="00655C64" w:rsidRDefault="008078C1" w:rsidP="008078C1">
      <w:pPr>
        <w:jc w:val="center"/>
        <w:rPr>
          <w:rFonts w:ascii="Times New Roman" w:hAnsi="Times New Roman" w:cs="Times New Roman"/>
          <w:sz w:val="24"/>
          <w:szCs w:val="24"/>
        </w:rPr>
      </w:pPr>
      <w:r w:rsidRPr="00655C64">
        <w:rPr>
          <w:rFonts w:ascii="Times New Roman" w:hAnsi="Times New Roman" w:cs="Times New Roman"/>
          <w:noProof/>
          <w:sz w:val="24"/>
          <w:szCs w:val="24"/>
        </w:rPr>
        <w:lastRenderedPageBreak/>
        <w:drawing>
          <wp:inline distT="114300" distB="114300" distL="114300" distR="114300" wp14:anchorId="52D61354" wp14:editId="79B06669">
            <wp:extent cx="5760000" cy="3637029"/>
            <wp:effectExtent l="0" t="0" r="0" b="1905"/>
            <wp:docPr id="4" name="image5.jpg" descr="Map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g" descr="Mapa&#10;&#10;O conteúdo gerado por IA pode estar incorreto."/>
                    <pic:cNvPicPr preferRelativeResize="0"/>
                  </pic:nvPicPr>
                  <pic:blipFill>
                    <a:blip r:embed="rId8" cstate="screen">
                      <a:extLst>
                        <a:ext uri="{28A0092B-C50C-407E-A947-70E740481C1C}">
                          <a14:useLocalDpi xmlns:a14="http://schemas.microsoft.com/office/drawing/2010/main"/>
                        </a:ext>
                      </a:extLst>
                    </a:blip>
                    <a:srcRect/>
                    <a:stretch>
                      <a:fillRect/>
                    </a:stretch>
                  </pic:blipFill>
                  <pic:spPr>
                    <a:xfrm>
                      <a:off x="0" y="0"/>
                      <a:ext cx="5760000" cy="3637029"/>
                    </a:xfrm>
                    <a:prstGeom prst="rect">
                      <a:avLst/>
                    </a:prstGeom>
                    <a:ln/>
                  </pic:spPr>
                </pic:pic>
              </a:graphicData>
            </a:graphic>
          </wp:inline>
        </w:drawing>
      </w:r>
    </w:p>
    <w:p w14:paraId="5E07437A" w14:textId="1F419851" w:rsidR="008078C1" w:rsidRPr="00655C64" w:rsidRDefault="00CA331A" w:rsidP="00CA331A">
      <w:pPr>
        <w:spacing w:line="360" w:lineRule="auto"/>
        <w:jc w:val="both"/>
        <w:rPr>
          <w:rFonts w:ascii="Times New Roman" w:hAnsi="Times New Roman" w:cs="Times New Roman"/>
          <w:sz w:val="24"/>
          <w:szCs w:val="24"/>
        </w:rPr>
      </w:pPr>
      <w:r w:rsidRPr="00C34DC2">
        <w:rPr>
          <w:rFonts w:ascii="Times New Roman" w:hAnsi="Times New Roman" w:cs="Times New Roman"/>
          <w:b/>
          <w:bCs/>
          <w:sz w:val="24"/>
          <w:szCs w:val="24"/>
        </w:rPr>
        <w:t>Figura 2</w:t>
      </w:r>
      <w:r w:rsidRPr="00655C64">
        <w:rPr>
          <w:rFonts w:ascii="Times New Roman" w:hAnsi="Times New Roman" w:cs="Times New Roman"/>
          <w:sz w:val="24"/>
          <w:szCs w:val="24"/>
        </w:rPr>
        <w:t xml:space="preserve"> – Estações fluviométricas do Estado de Mato Grosso utilizadas no estudo.</w:t>
      </w:r>
    </w:p>
    <w:p w14:paraId="57B48898" w14:textId="77777777" w:rsidR="008078C1" w:rsidRPr="00655C64" w:rsidRDefault="008078C1" w:rsidP="008078C1">
      <w:pPr>
        <w:spacing w:line="360" w:lineRule="auto"/>
        <w:ind w:firstLine="567"/>
        <w:jc w:val="both"/>
        <w:rPr>
          <w:rFonts w:ascii="Times New Roman" w:hAnsi="Times New Roman" w:cs="Times New Roman"/>
          <w:sz w:val="24"/>
          <w:szCs w:val="24"/>
        </w:rPr>
      </w:pPr>
      <w:bookmarkStart w:id="1" w:name="_4l0117l0l3dm" w:colFirst="0" w:colLast="0"/>
      <w:bookmarkEnd w:id="1"/>
    </w:p>
    <w:p w14:paraId="43E910ED" w14:textId="199FC60A" w:rsidR="008078C1" w:rsidRPr="00655C64" w:rsidRDefault="008078C1" w:rsidP="00C14DC2">
      <w:pPr>
        <w:numPr>
          <w:ilvl w:val="1"/>
          <w:numId w:val="1"/>
        </w:numPr>
        <w:ind w:left="434" w:hanging="434"/>
        <w:rPr>
          <w:rFonts w:ascii="Times New Roman" w:eastAsia="Times New Roman" w:hAnsi="Times New Roman" w:cs="Times New Roman"/>
          <w:b/>
          <w:kern w:val="0"/>
          <w:sz w:val="24"/>
          <w:szCs w:val="24"/>
          <w:lang w:eastAsia="pt-BR"/>
          <w14:ligatures w14:val="none"/>
        </w:rPr>
      </w:pPr>
      <w:bookmarkStart w:id="2" w:name="_xrtt46m24gqz" w:colFirst="0" w:colLast="0"/>
      <w:bookmarkEnd w:id="2"/>
      <w:r w:rsidRPr="00655C64">
        <w:rPr>
          <w:rFonts w:ascii="Times New Roman" w:eastAsia="Times New Roman" w:hAnsi="Times New Roman" w:cs="Times New Roman"/>
          <w:b/>
          <w:kern w:val="0"/>
          <w:sz w:val="24"/>
          <w:szCs w:val="24"/>
          <w:lang w:eastAsia="pt-BR"/>
          <w14:ligatures w14:val="none"/>
        </w:rPr>
        <w:t>Critério de outorga para o Estado de Mato Grosso</w:t>
      </w:r>
    </w:p>
    <w:p w14:paraId="4A69946C" w14:textId="77777777" w:rsidR="00C14DC2" w:rsidRDefault="00C14DC2" w:rsidP="008078C1">
      <w:pPr>
        <w:spacing w:line="360" w:lineRule="auto"/>
        <w:ind w:firstLine="567"/>
        <w:jc w:val="both"/>
        <w:rPr>
          <w:rFonts w:ascii="Times New Roman" w:hAnsi="Times New Roman" w:cs="Times New Roman"/>
          <w:sz w:val="24"/>
          <w:szCs w:val="24"/>
        </w:rPr>
      </w:pPr>
    </w:p>
    <w:p w14:paraId="5F3B288A" w14:textId="63A4F576"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A análise da disponibilidade hídrica para captações superficiais de uso consuntivo em rios de domínio do Estado utiliza como referência a vazão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xml:space="preserve">, que corresponde à vazão de permanência em 95% do tempo, determinada pelo Estudo de Regionalização Hidrológica de Mato </w:t>
      </w:r>
      <w:r w:rsidRPr="00655C64">
        <w:rPr>
          <w:rFonts w:ascii="Times New Roman" w:hAnsi="Times New Roman" w:cs="Times New Roman"/>
          <w:color w:val="000000" w:themeColor="text1"/>
          <w:sz w:val="24"/>
          <w:szCs w:val="24"/>
        </w:rPr>
        <w:t xml:space="preserve">Grosso (SEMA, 2007). </w:t>
      </w:r>
      <w:r w:rsidRPr="00655C64">
        <w:rPr>
          <w:rFonts w:ascii="Times New Roman" w:hAnsi="Times New Roman" w:cs="Times New Roman"/>
          <w:sz w:val="24"/>
          <w:szCs w:val="24"/>
        </w:rPr>
        <w:t>A vazão máxima outorgável para esses usos é de até 70% da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para uma seção do corpo hídrico, conforme a Resolução CEHIDRO nº 119, de 07 de novembro de 2019.</w:t>
      </w:r>
    </w:p>
    <w:p w14:paraId="7B8F2B2B" w14:textId="77777777" w:rsidR="008078C1" w:rsidRPr="00655C64" w:rsidRDefault="008078C1" w:rsidP="008078C1">
      <w:pPr>
        <w:spacing w:line="360" w:lineRule="auto"/>
        <w:ind w:firstLine="567"/>
        <w:jc w:val="both"/>
        <w:rPr>
          <w:rFonts w:ascii="Times New Roman" w:hAnsi="Times New Roman" w:cs="Times New Roman"/>
          <w:sz w:val="24"/>
          <w:szCs w:val="24"/>
        </w:rPr>
      </w:pPr>
    </w:p>
    <w:p w14:paraId="3E78062F" w14:textId="37CEC1DF" w:rsidR="008078C1" w:rsidRPr="00655C64" w:rsidRDefault="008078C1" w:rsidP="00C14DC2">
      <w:pPr>
        <w:numPr>
          <w:ilvl w:val="1"/>
          <w:numId w:val="1"/>
        </w:numPr>
        <w:ind w:left="434" w:hanging="434"/>
        <w:rPr>
          <w:rFonts w:ascii="Times New Roman" w:eastAsia="Times New Roman" w:hAnsi="Times New Roman" w:cs="Times New Roman"/>
          <w:b/>
          <w:kern w:val="0"/>
          <w:sz w:val="24"/>
          <w:szCs w:val="24"/>
          <w:lang w:eastAsia="pt-BR"/>
          <w14:ligatures w14:val="none"/>
        </w:rPr>
      </w:pPr>
      <w:bookmarkStart w:id="3" w:name="_h3z969c06p7a" w:colFirst="0" w:colLast="0"/>
      <w:bookmarkEnd w:id="3"/>
      <w:r w:rsidRPr="00655C64">
        <w:rPr>
          <w:rFonts w:ascii="Times New Roman" w:eastAsia="Times New Roman" w:hAnsi="Times New Roman" w:cs="Times New Roman"/>
          <w:b/>
          <w:kern w:val="0"/>
          <w:sz w:val="24"/>
          <w:szCs w:val="24"/>
          <w:lang w:eastAsia="pt-BR"/>
          <w14:ligatures w14:val="none"/>
        </w:rPr>
        <w:t>Comparação entre os critérios de retirada máxima mensal e anual</w:t>
      </w:r>
    </w:p>
    <w:p w14:paraId="0DBC735B" w14:textId="77777777" w:rsidR="00C14DC2" w:rsidRDefault="00C14DC2" w:rsidP="008078C1">
      <w:pPr>
        <w:spacing w:line="360" w:lineRule="auto"/>
        <w:ind w:firstLine="567"/>
        <w:jc w:val="both"/>
        <w:rPr>
          <w:rFonts w:ascii="Times New Roman" w:hAnsi="Times New Roman" w:cs="Times New Roman"/>
          <w:sz w:val="24"/>
          <w:szCs w:val="24"/>
        </w:rPr>
      </w:pPr>
    </w:p>
    <w:p w14:paraId="1D9212C4" w14:textId="4F6FC3EE"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A avaliação do impacto da substituição de vazões anuais por mensais ao longo da hidrografia, ou seja, a influência da sazonalidade na disponibilidade de água, foi analisada através do cálculo da diferença relativa (DH), comparando as estimativas mensais com as anuais a partir da equação:</w:t>
      </w:r>
    </w:p>
    <w:tbl>
      <w:tblPr>
        <w:tblW w:w="5000" w:type="pct"/>
        <w:tblLayout w:type="fixed"/>
        <w:tblLook w:val="0400" w:firstRow="0" w:lastRow="0" w:firstColumn="0" w:lastColumn="0" w:noHBand="0" w:noVBand="1"/>
      </w:tblPr>
      <w:tblGrid>
        <w:gridCol w:w="7512"/>
        <w:gridCol w:w="1514"/>
      </w:tblGrid>
      <w:tr w:rsidR="008078C1" w:rsidRPr="00655C64" w14:paraId="1113C9C5" w14:textId="77777777" w:rsidTr="001F2B85">
        <w:tc>
          <w:tcPr>
            <w:tcW w:w="8033" w:type="dxa"/>
            <w:shd w:val="clear" w:color="auto" w:fill="auto"/>
          </w:tcPr>
          <w:p w14:paraId="07E6ACF1" w14:textId="77777777" w:rsidR="008078C1" w:rsidRPr="00655C64" w:rsidRDefault="008A4628" w:rsidP="001F2B85">
            <w:pPr>
              <w:spacing w:after="120"/>
              <w:ind w:firstLine="567"/>
              <w:jc w:val="both"/>
              <w:rPr>
                <w:rFonts w:ascii="Times New Roman" w:hAnsi="Times New Roman" w:cs="Times New Roman"/>
                <w:sz w:val="24"/>
                <w:szCs w:val="24"/>
              </w:rPr>
            </w:pP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DH</m:t>
                  </m:r>
                </m:e>
                <m:sub>
                  <m:r>
                    <w:rPr>
                      <w:rFonts w:ascii="Cambria Math" w:eastAsia="Cambria Math" w:hAnsi="Cambria Math" w:cs="Times New Roman"/>
                      <w:sz w:val="24"/>
                      <w:szCs w:val="24"/>
                    </w:rPr>
                    <m:t>i</m:t>
                  </m:r>
                </m:sub>
              </m:sSub>
              <m:r>
                <w:rPr>
                  <w:rFonts w:ascii="Cambria Math" w:eastAsia="Cambria Math" w:hAnsi="Cambria Math" w:cs="Times New Roman"/>
                  <w:sz w:val="24"/>
                  <w:szCs w:val="24"/>
                </w:rPr>
                <m:t>(%)=</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Q9</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5</m:t>
                      </m:r>
                    </m:e>
                    <m:sub>
                      <m:r>
                        <w:rPr>
                          <w:rFonts w:ascii="Cambria Math" w:eastAsia="Cambria Math" w:hAnsi="Cambria Math" w:cs="Times New Roman"/>
                          <w:sz w:val="24"/>
                          <w:szCs w:val="24"/>
                        </w:rPr>
                        <m:t>i</m:t>
                      </m:r>
                    </m:sub>
                  </m:sSub>
                  <m:r>
                    <w:rPr>
                      <w:rFonts w:ascii="Cambria Math" w:eastAsia="Cambria Math" w:hAnsi="Cambria Math" w:cs="Times New Roman"/>
                      <w:sz w:val="24"/>
                      <w:szCs w:val="24"/>
                    </w:rPr>
                    <m:t xml:space="preserve">  -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Q95</m:t>
                      </m:r>
                    </m:e>
                    <m:sub>
                      <m:r>
                        <w:rPr>
                          <w:rFonts w:ascii="Cambria Math" w:eastAsia="Cambria Math" w:hAnsi="Cambria Math" w:cs="Times New Roman"/>
                          <w:sz w:val="24"/>
                          <w:szCs w:val="24"/>
                        </w:rPr>
                        <m:t>anual</m:t>
                      </m:r>
                    </m:sub>
                  </m:sSub>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Q95</m:t>
                      </m:r>
                    </m:e>
                    <m:sub>
                      <m:r>
                        <w:rPr>
                          <w:rFonts w:ascii="Cambria Math" w:eastAsia="Cambria Math" w:hAnsi="Cambria Math" w:cs="Times New Roman"/>
                          <w:sz w:val="24"/>
                          <w:szCs w:val="24"/>
                        </w:rPr>
                        <m:t>anual</m:t>
                      </m:r>
                    </m:sub>
                  </m:sSub>
                </m:den>
              </m:f>
              <m:r>
                <w:rPr>
                  <w:rFonts w:ascii="Cambria Math" w:eastAsia="Cambria Math" w:hAnsi="Cambria Math" w:cs="Times New Roman"/>
                  <w:sz w:val="24"/>
                  <w:szCs w:val="24"/>
                </w:rPr>
                <m:t xml:space="preserve"> * 100</m:t>
              </m:r>
            </m:oMath>
            <w:r w:rsidR="008078C1" w:rsidRPr="00655C64">
              <w:rPr>
                <w:rFonts w:ascii="Times New Roman" w:hAnsi="Times New Roman" w:cs="Times New Roman"/>
                <w:sz w:val="24"/>
                <w:szCs w:val="24"/>
              </w:rPr>
              <w:t xml:space="preserve"> </w:t>
            </w:r>
          </w:p>
        </w:tc>
        <w:tc>
          <w:tcPr>
            <w:tcW w:w="1606" w:type="dxa"/>
            <w:shd w:val="clear" w:color="auto" w:fill="auto"/>
            <w:vAlign w:val="center"/>
          </w:tcPr>
          <w:p w14:paraId="378554D2" w14:textId="77777777" w:rsidR="008078C1" w:rsidRPr="00655C64" w:rsidRDefault="008078C1" w:rsidP="001F2B85">
            <w:pPr>
              <w:spacing w:after="120"/>
              <w:ind w:firstLine="567"/>
              <w:jc w:val="right"/>
              <w:rPr>
                <w:rFonts w:ascii="Times New Roman" w:hAnsi="Times New Roman" w:cs="Times New Roman"/>
                <w:sz w:val="24"/>
                <w:szCs w:val="24"/>
              </w:rPr>
            </w:pPr>
            <w:r w:rsidRPr="00655C64">
              <w:rPr>
                <w:rFonts w:ascii="Times New Roman" w:hAnsi="Times New Roman" w:cs="Times New Roman"/>
                <w:sz w:val="24"/>
                <w:szCs w:val="24"/>
              </w:rPr>
              <w:t>(1)</w:t>
            </w:r>
          </w:p>
        </w:tc>
      </w:tr>
    </w:tbl>
    <w:p w14:paraId="3F303700" w14:textId="77777777" w:rsidR="008078C1" w:rsidRPr="00655C64" w:rsidRDefault="008078C1" w:rsidP="008078C1">
      <w:pPr>
        <w:widowControl w:val="0"/>
        <w:tabs>
          <w:tab w:val="left" w:pos="2880"/>
        </w:tabs>
        <w:spacing w:before="120" w:after="120"/>
        <w:ind w:right="851"/>
        <w:rPr>
          <w:rFonts w:ascii="Times New Roman" w:hAnsi="Times New Roman" w:cs="Times New Roman"/>
          <w:sz w:val="24"/>
          <w:szCs w:val="24"/>
        </w:rPr>
      </w:pPr>
      <w:r w:rsidRPr="00655C64">
        <w:rPr>
          <w:rFonts w:ascii="Times New Roman" w:hAnsi="Times New Roman" w:cs="Times New Roman"/>
          <w:sz w:val="24"/>
          <w:szCs w:val="24"/>
        </w:rPr>
        <w:t>em que:</w:t>
      </w:r>
    </w:p>
    <w:tbl>
      <w:tblPr>
        <w:tblW w:w="5000" w:type="pct"/>
        <w:tblLayout w:type="fixed"/>
        <w:tblLook w:val="0400" w:firstRow="0" w:lastRow="0" w:firstColumn="0" w:lastColumn="0" w:noHBand="0" w:noVBand="1"/>
      </w:tblPr>
      <w:tblGrid>
        <w:gridCol w:w="1744"/>
        <w:gridCol w:w="458"/>
        <w:gridCol w:w="6824"/>
      </w:tblGrid>
      <w:tr w:rsidR="008078C1" w:rsidRPr="00655C64" w14:paraId="7F7E4DFD" w14:textId="77777777" w:rsidTr="001F2B85">
        <w:tc>
          <w:tcPr>
            <w:tcW w:w="1855" w:type="dxa"/>
            <w:shd w:val="clear" w:color="auto" w:fill="auto"/>
          </w:tcPr>
          <w:p w14:paraId="37BAC9D3" w14:textId="77777777" w:rsidR="008078C1" w:rsidRPr="00655C64" w:rsidRDefault="008078C1" w:rsidP="001F2B85">
            <w:pPr>
              <w:ind w:firstLine="567"/>
              <w:jc w:val="both"/>
              <w:rPr>
                <w:rFonts w:ascii="Times New Roman" w:hAnsi="Times New Roman" w:cs="Times New Roman"/>
                <w:i/>
                <w:sz w:val="24"/>
                <w:szCs w:val="24"/>
              </w:rPr>
            </w:pPr>
            <w:proofErr w:type="spellStart"/>
            <w:r w:rsidRPr="00655C64">
              <w:rPr>
                <w:rFonts w:ascii="Times New Roman" w:hAnsi="Times New Roman" w:cs="Times New Roman"/>
                <w:sz w:val="24"/>
                <w:szCs w:val="24"/>
              </w:rPr>
              <w:t>DH</w:t>
            </w:r>
            <w:r w:rsidRPr="00655C64">
              <w:rPr>
                <w:rFonts w:ascii="Times New Roman" w:hAnsi="Times New Roman" w:cs="Times New Roman"/>
                <w:sz w:val="24"/>
                <w:szCs w:val="24"/>
                <w:vertAlign w:val="subscript"/>
              </w:rPr>
              <w:t>i</w:t>
            </w:r>
            <w:proofErr w:type="spellEnd"/>
          </w:p>
        </w:tc>
        <w:tc>
          <w:tcPr>
            <w:tcW w:w="474" w:type="dxa"/>
            <w:shd w:val="clear" w:color="auto" w:fill="auto"/>
          </w:tcPr>
          <w:p w14:paraId="13DD80CB"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33A296C2"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diferença relativa percentual para o mês i, porcentagem;</w:t>
            </w:r>
          </w:p>
        </w:tc>
      </w:tr>
      <w:tr w:rsidR="008078C1" w:rsidRPr="00655C64" w14:paraId="5471B058" w14:textId="77777777" w:rsidTr="001F2B85">
        <w:tc>
          <w:tcPr>
            <w:tcW w:w="1855" w:type="dxa"/>
            <w:shd w:val="clear" w:color="auto" w:fill="auto"/>
          </w:tcPr>
          <w:p w14:paraId="2B82E7FC" w14:textId="77777777" w:rsidR="008078C1" w:rsidRPr="00655C64" w:rsidRDefault="008078C1" w:rsidP="001F2B85">
            <w:pPr>
              <w:ind w:firstLine="567"/>
              <w:jc w:val="both"/>
              <w:rPr>
                <w:rFonts w:ascii="Times New Roman" w:hAnsi="Times New Roman" w:cs="Times New Roman"/>
                <w:i/>
                <w:sz w:val="24"/>
                <w:szCs w:val="24"/>
              </w:rPr>
            </w:pPr>
            <w:r w:rsidRPr="00655C64">
              <w:rPr>
                <w:rFonts w:ascii="Times New Roman" w:hAnsi="Times New Roman" w:cs="Times New Roman"/>
                <w:i/>
                <w:sz w:val="24"/>
                <w:szCs w:val="24"/>
              </w:rPr>
              <w:t>i</w:t>
            </w:r>
          </w:p>
        </w:tc>
        <w:tc>
          <w:tcPr>
            <w:tcW w:w="474" w:type="dxa"/>
            <w:shd w:val="clear" w:color="auto" w:fill="auto"/>
          </w:tcPr>
          <w:p w14:paraId="580A78CD"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24C92A8A"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índice que indica o mês do ano, variando de 1 (janeiro) a 12 (dezembro), adimensional;</w:t>
            </w:r>
          </w:p>
        </w:tc>
      </w:tr>
      <w:tr w:rsidR="008078C1" w:rsidRPr="00655C64" w14:paraId="123DA9CA" w14:textId="77777777" w:rsidTr="001F2B85">
        <w:tc>
          <w:tcPr>
            <w:tcW w:w="1855" w:type="dxa"/>
            <w:shd w:val="clear" w:color="auto" w:fill="auto"/>
          </w:tcPr>
          <w:p w14:paraId="2887135C" w14:textId="77777777" w:rsidR="008078C1" w:rsidRPr="00655C64" w:rsidRDefault="008078C1" w:rsidP="001F2B85">
            <w:pPr>
              <w:ind w:firstLine="567"/>
              <w:jc w:val="both"/>
              <w:rPr>
                <w:rFonts w:ascii="Times New Roman" w:hAnsi="Times New Roman" w:cs="Times New Roman"/>
                <w:i/>
                <w:sz w:val="24"/>
                <w:szCs w:val="24"/>
                <w:highlight w:val="yellow"/>
              </w:rPr>
            </w:pPr>
            <w:r w:rsidRPr="00655C64">
              <w:rPr>
                <w:rFonts w:ascii="Times New Roman" w:hAnsi="Times New Roman" w:cs="Times New Roman"/>
                <w:sz w:val="24"/>
                <w:szCs w:val="24"/>
              </w:rPr>
              <w:t>Q</w:t>
            </w:r>
            <w:r w:rsidRPr="00655C64">
              <w:rPr>
                <w:rFonts w:ascii="Times New Roman" w:hAnsi="Times New Roman" w:cs="Times New Roman"/>
                <w:sz w:val="24"/>
                <w:szCs w:val="24"/>
                <w:vertAlign w:val="subscript"/>
              </w:rPr>
              <w:t>95anual</w:t>
            </w:r>
          </w:p>
        </w:tc>
        <w:tc>
          <w:tcPr>
            <w:tcW w:w="474" w:type="dxa"/>
            <w:shd w:val="clear" w:color="auto" w:fill="auto"/>
          </w:tcPr>
          <w:p w14:paraId="60FE7FC5" w14:textId="77777777" w:rsidR="008078C1" w:rsidRPr="00655C64" w:rsidRDefault="008078C1" w:rsidP="001F2B85">
            <w:pPr>
              <w:jc w:val="both"/>
              <w:rPr>
                <w:rFonts w:ascii="Times New Roman" w:hAnsi="Times New Roman" w:cs="Times New Roman"/>
                <w:sz w:val="24"/>
                <w:szCs w:val="24"/>
                <w:highlight w:val="yellow"/>
              </w:rPr>
            </w:pPr>
            <w:r w:rsidRPr="00655C64">
              <w:rPr>
                <w:rFonts w:ascii="Times New Roman" w:hAnsi="Times New Roman" w:cs="Times New Roman"/>
                <w:sz w:val="24"/>
                <w:szCs w:val="24"/>
              </w:rPr>
              <w:t>=</w:t>
            </w:r>
          </w:p>
        </w:tc>
        <w:tc>
          <w:tcPr>
            <w:tcW w:w="7310" w:type="dxa"/>
            <w:shd w:val="clear" w:color="auto" w:fill="auto"/>
          </w:tcPr>
          <w:p w14:paraId="1E78901F" w14:textId="77777777" w:rsidR="008078C1" w:rsidRPr="00655C64" w:rsidRDefault="008078C1" w:rsidP="001F2B85">
            <w:pPr>
              <w:jc w:val="both"/>
              <w:rPr>
                <w:rFonts w:ascii="Times New Roman" w:hAnsi="Times New Roman" w:cs="Times New Roman"/>
                <w:sz w:val="24"/>
                <w:szCs w:val="24"/>
                <w:highlight w:val="yellow"/>
              </w:rPr>
            </w:pPr>
            <w:r w:rsidRPr="00655C64">
              <w:rPr>
                <w:rFonts w:ascii="Times New Roman" w:hAnsi="Times New Roman" w:cs="Times New Roman"/>
                <w:sz w:val="24"/>
                <w:szCs w:val="24"/>
              </w:rPr>
              <w:t>vazão que ocorre em 95% do tempo anual, em m</w:t>
            </w:r>
            <w:r w:rsidRPr="00655C64">
              <w:rPr>
                <w:rFonts w:ascii="Times New Roman" w:hAnsi="Times New Roman" w:cs="Times New Roman"/>
                <w:sz w:val="24"/>
                <w:szCs w:val="24"/>
                <w:vertAlign w:val="superscript"/>
              </w:rPr>
              <w:t>3</w:t>
            </w:r>
            <w:r w:rsidRPr="00655C64">
              <w:rPr>
                <w:rFonts w:ascii="Times New Roman" w:hAnsi="Times New Roman" w:cs="Times New Roman"/>
                <w:sz w:val="24"/>
                <w:szCs w:val="24"/>
              </w:rPr>
              <w:t> s</w:t>
            </w:r>
            <w:r w:rsidRPr="00655C64">
              <w:rPr>
                <w:rFonts w:ascii="Times New Roman" w:hAnsi="Times New Roman" w:cs="Times New Roman"/>
                <w:sz w:val="24"/>
                <w:szCs w:val="24"/>
                <w:vertAlign w:val="superscript"/>
              </w:rPr>
              <w:t>-1</w:t>
            </w:r>
            <w:r w:rsidRPr="00655C64">
              <w:rPr>
                <w:rFonts w:ascii="Times New Roman" w:hAnsi="Times New Roman" w:cs="Times New Roman"/>
                <w:sz w:val="24"/>
                <w:szCs w:val="24"/>
              </w:rPr>
              <w:t>; e</w:t>
            </w:r>
          </w:p>
        </w:tc>
      </w:tr>
      <w:tr w:rsidR="008078C1" w:rsidRPr="00655C64" w14:paraId="5E7AE32A" w14:textId="77777777" w:rsidTr="001F2B85">
        <w:tc>
          <w:tcPr>
            <w:tcW w:w="1855" w:type="dxa"/>
            <w:shd w:val="clear" w:color="auto" w:fill="auto"/>
          </w:tcPr>
          <w:p w14:paraId="62A76A85" w14:textId="77777777" w:rsidR="008078C1" w:rsidRPr="00655C64" w:rsidRDefault="008078C1" w:rsidP="001F2B85">
            <w:pPr>
              <w:ind w:firstLine="567"/>
              <w:jc w:val="both"/>
              <w:rPr>
                <w:rFonts w:ascii="Times New Roman" w:hAnsi="Times New Roman" w:cs="Times New Roman"/>
                <w:sz w:val="24"/>
                <w:szCs w:val="24"/>
                <w:highlight w:val="yellow"/>
              </w:rPr>
            </w:pPr>
            <w:r w:rsidRPr="00655C64">
              <w:rPr>
                <w:rFonts w:ascii="Times New Roman" w:hAnsi="Times New Roman" w:cs="Times New Roman"/>
                <w:sz w:val="24"/>
                <w:szCs w:val="24"/>
              </w:rPr>
              <w:t>Q</w:t>
            </w:r>
            <w:r w:rsidRPr="00655C64">
              <w:rPr>
                <w:rFonts w:ascii="Times New Roman" w:hAnsi="Times New Roman" w:cs="Times New Roman"/>
                <w:sz w:val="24"/>
                <w:szCs w:val="24"/>
                <w:vertAlign w:val="subscript"/>
              </w:rPr>
              <w:t>95i</w:t>
            </w:r>
          </w:p>
        </w:tc>
        <w:tc>
          <w:tcPr>
            <w:tcW w:w="474" w:type="dxa"/>
            <w:shd w:val="clear" w:color="auto" w:fill="auto"/>
          </w:tcPr>
          <w:p w14:paraId="4BAE5CBD"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7B289221" w14:textId="77777777" w:rsidR="008078C1" w:rsidRPr="00655C64" w:rsidRDefault="008078C1" w:rsidP="001F2B85">
            <w:pPr>
              <w:jc w:val="both"/>
              <w:rPr>
                <w:rFonts w:ascii="Times New Roman" w:hAnsi="Times New Roman" w:cs="Times New Roman"/>
                <w:sz w:val="24"/>
                <w:szCs w:val="24"/>
                <w:highlight w:val="yellow"/>
              </w:rPr>
            </w:pPr>
            <w:r w:rsidRPr="00655C64">
              <w:rPr>
                <w:rFonts w:ascii="Times New Roman" w:hAnsi="Times New Roman" w:cs="Times New Roman"/>
                <w:sz w:val="24"/>
                <w:szCs w:val="24"/>
              </w:rPr>
              <w:t>vazão que ocorre em 95% do tempo do mês i, em m3 s</w:t>
            </w:r>
            <w:r w:rsidRPr="00655C64">
              <w:rPr>
                <w:rFonts w:ascii="Times New Roman" w:hAnsi="Times New Roman" w:cs="Times New Roman"/>
                <w:sz w:val="24"/>
                <w:szCs w:val="24"/>
                <w:vertAlign w:val="superscript"/>
              </w:rPr>
              <w:t>-1</w:t>
            </w:r>
            <w:r w:rsidRPr="00655C64">
              <w:rPr>
                <w:rFonts w:ascii="Times New Roman" w:hAnsi="Times New Roman" w:cs="Times New Roman"/>
                <w:sz w:val="24"/>
                <w:szCs w:val="24"/>
              </w:rPr>
              <w:t>.</w:t>
            </w:r>
          </w:p>
        </w:tc>
      </w:tr>
    </w:tbl>
    <w:p w14:paraId="2B69A0BE" w14:textId="77777777" w:rsidR="008078C1" w:rsidRPr="00655C64" w:rsidRDefault="008078C1" w:rsidP="008078C1">
      <w:pPr>
        <w:spacing w:line="360" w:lineRule="auto"/>
        <w:ind w:firstLine="567"/>
        <w:jc w:val="both"/>
        <w:rPr>
          <w:rFonts w:ascii="Times New Roman" w:hAnsi="Times New Roman" w:cs="Times New Roman"/>
          <w:sz w:val="24"/>
          <w:szCs w:val="24"/>
        </w:rPr>
      </w:pPr>
    </w:p>
    <w:p w14:paraId="0E4874BD" w14:textId="77777777"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O DH foi calculado para todas as estações presentes na área durante os meses de janeiro a dezembro.</w:t>
      </w:r>
    </w:p>
    <w:p w14:paraId="0CB336BA" w14:textId="77777777" w:rsidR="008078C1" w:rsidRPr="00655C64" w:rsidRDefault="008078C1" w:rsidP="008078C1">
      <w:pPr>
        <w:spacing w:line="360" w:lineRule="auto"/>
        <w:ind w:firstLine="567"/>
        <w:jc w:val="both"/>
        <w:rPr>
          <w:rFonts w:ascii="Times New Roman" w:hAnsi="Times New Roman" w:cs="Times New Roman"/>
          <w:sz w:val="24"/>
          <w:szCs w:val="24"/>
        </w:rPr>
      </w:pPr>
    </w:p>
    <w:p w14:paraId="52473CA9" w14:textId="0FB1AC6B" w:rsidR="008078C1" w:rsidRPr="00655C64" w:rsidRDefault="008078C1" w:rsidP="00C14DC2">
      <w:pPr>
        <w:numPr>
          <w:ilvl w:val="1"/>
          <w:numId w:val="1"/>
        </w:numPr>
        <w:ind w:left="434" w:hanging="434"/>
        <w:rPr>
          <w:rFonts w:ascii="Times New Roman" w:eastAsia="Times New Roman" w:hAnsi="Times New Roman" w:cs="Times New Roman"/>
          <w:b/>
          <w:kern w:val="0"/>
          <w:sz w:val="24"/>
          <w:szCs w:val="24"/>
          <w:lang w:eastAsia="pt-BR"/>
          <w14:ligatures w14:val="none"/>
        </w:rPr>
      </w:pPr>
      <w:bookmarkStart w:id="4" w:name="_gf19bd6quwkx" w:colFirst="0" w:colLast="0"/>
      <w:bookmarkEnd w:id="4"/>
      <w:r w:rsidRPr="00655C64">
        <w:rPr>
          <w:rFonts w:ascii="Times New Roman" w:eastAsia="Times New Roman" w:hAnsi="Times New Roman" w:cs="Times New Roman"/>
          <w:b/>
          <w:kern w:val="0"/>
          <w:sz w:val="24"/>
          <w:szCs w:val="24"/>
          <w:lang w:eastAsia="pt-BR"/>
          <w14:ligatures w14:val="none"/>
        </w:rPr>
        <w:t>Balanço hídrico quantitativo</w:t>
      </w:r>
    </w:p>
    <w:p w14:paraId="13DDDC3D" w14:textId="77777777" w:rsidR="00C14DC2" w:rsidRDefault="00C14DC2" w:rsidP="008078C1">
      <w:pPr>
        <w:spacing w:line="360" w:lineRule="auto"/>
        <w:ind w:firstLine="567"/>
        <w:jc w:val="both"/>
        <w:rPr>
          <w:rFonts w:ascii="Times New Roman" w:hAnsi="Times New Roman" w:cs="Times New Roman"/>
          <w:sz w:val="24"/>
          <w:szCs w:val="24"/>
        </w:rPr>
      </w:pPr>
    </w:p>
    <w:p w14:paraId="11EEF6FD" w14:textId="11A22122" w:rsidR="008078C1" w:rsidRPr="00655C64" w:rsidRDefault="008078C1" w:rsidP="008078C1">
      <w:pPr>
        <w:spacing w:line="360" w:lineRule="auto"/>
        <w:ind w:firstLine="567"/>
        <w:jc w:val="both"/>
        <w:rPr>
          <w:rFonts w:ascii="Times New Roman" w:hAnsi="Times New Roman" w:cs="Times New Roman"/>
          <w:sz w:val="24"/>
          <w:szCs w:val="24"/>
        </w:rPr>
      </w:pPr>
      <w:r w:rsidRPr="00655C64">
        <w:rPr>
          <w:rFonts w:ascii="Times New Roman" w:hAnsi="Times New Roman" w:cs="Times New Roman"/>
          <w:sz w:val="24"/>
          <w:szCs w:val="24"/>
        </w:rPr>
        <w:t>O balanço hídrico quantitativo (BHQ) é uma medida que indica o grau de uso e pressão sobre os recursos hídricos disponíveis em uma determinada região hidrográfica (ANA, 2016). Assim, foi analisada a disponibilidade hídrica para algumas sub-bacias do estado de Mato Grosso com o objetivo de identificar quanto da oferta hídrica está sendo utilizada para atendimento dos usos consuntivos, considerando o critério de outorga adotado no estado (Q</w:t>
      </w:r>
      <w:r w:rsidRPr="00655C64">
        <w:rPr>
          <w:rFonts w:ascii="Times New Roman" w:hAnsi="Times New Roman" w:cs="Times New Roman"/>
          <w:sz w:val="24"/>
          <w:szCs w:val="24"/>
          <w:vertAlign w:val="subscript"/>
        </w:rPr>
        <w:t>95anual</w:t>
      </w:r>
      <w:r w:rsidRPr="00655C64">
        <w:rPr>
          <w:rFonts w:ascii="Times New Roman" w:hAnsi="Times New Roman" w:cs="Times New Roman"/>
          <w:sz w:val="24"/>
          <w:szCs w:val="24"/>
        </w:rPr>
        <w:t>) e o uso das vazões sazonais (Q</w:t>
      </w:r>
      <w:r w:rsidRPr="00655C64">
        <w:rPr>
          <w:rFonts w:ascii="Times New Roman" w:hAnsi="Times New Roman" w:cs="Times New Roman"/>
          <w:sz w:val="24"/>
          <w:szCs w:val="24"/>
          <w:vertAlign w:val="subscript"/>
        </w:rPr>
        <w:t>95mensais</w:t>
      </w:r>
      <w:r w:rsidRPr="00655C64">
        <w:rPr>
          <w:rFonts w:ascii="Times New Roman" w:hAnsi="Times New Roman" w:cs="Times New Roman"/>
          <w:sz w:val="24"/>
          <w:szCs w:val="24"/>
        </w:rPr>
        <w:t>) e vazões anuais (Q</w:t>
      </w:r>
      <w:r w:rsidRPr="00655C64">
        <w:rPr>
          <w:rFonts w:ascii="Times New Roman" w:hAnsi="Times New Roman" w:cs="Times New Roman"/>
          <w:sz w:val="24"/>
          <w:szCs w:val="24"/>
          <w:vertAlign w:val="subscript"/>
        </w:rPr>
        <w:t>95mensais</w:t>
      </w:r>
      <w:r w:rsidRPr="00655C64">
        <w:rPr>
          <w:rFonts w:ascii="Times New Roman" w:hAnsi="Times New Roman" w:cs="Times New Roman"/>
          <w:sz w:val="24"/>
          <w:szCs w:val="24"/>
        </w:rPr>
        <w:t>), sendo realizados dois cálculos para fins de comparação O BHQ foi calculado pela equação:</w:t>
      </w:r>
    </w:p>
    <w:tbl>
      <w:tblPr>
        <w:tblW w:w="5000" w:type="pct"/>
        <w:tblLayout w:type="fixed"/>
        <w:tblLook w:val="0400" w:firstRow="0" w:lastRow="0" w:firstColumn="0" w:lastColumn="0" w:noHBand="0" w:noVBand="1"/>
      </w:tblPr>
      <w:tblGrid>
        <w:gridCol w:w="7512"/>
        <w:gridCol w:w="1514"/>
      </w:tblGrid>
      <w:tr w:rsidR="008078C1" w:rsidRPr="00655C64" w14:paraId="3C1193B1" w14:textId="77777777" w:rsidTr="001F2B85">
        <w:tc>
          <w:tcPr>
            <w:tcW w:w="8033" w:type="dxa"/>
            <w:shd w:val="clear" w:color="auto" w:fill="auto"/>
          </w:tcPr>
          <w:p w14:paraId="1786085A" w14:textId="77777777" w:rsidR="008078C1" w:rsidRPr="00655C64" w:rsidRDefault="008078C1" w:rsidP="001F2B85">
            <w:pPr>
              <w:spacing w:after="120"/>
              <w:ind w:firstLine="567"/>
              <w:jc w:val="both"/>
              <w:rPr>
                <w:rFonts w:ascii="Times New Roman" w:hAnsi="Times New Roman" w:cs="Times New Roman"/>
                <w:sz w:val="24"/>
                <w:szCs w:val="24"/>
              </w:rPr>
            </w:pPr>
            <m:oMath>
              <m:r>
                <w:rPr>
                  <w:rFonts w:ascii="Cambria Math" w:eastAsia="Cambria Math" w:hAnsi="Cambria Math" w:cs="Times New Roman"/>
                  <w:sz w:val="24"/>
                  <w:szCs w:val="24"/>
                </w:rPr>
                <m:t>BHQ</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m:t>
                  </m:r>
                </m:e>
              </m:d>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demanda</m:t>
                      </m:r>
                    </m:sub>
                  </m:sSub>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Q</m:t>
                      </m:r>
                    </m:e>
                    <m:sub>
                      <m:r>
                        <w:rPr>
                          <w:rFonts w:ascii="Cambria Math" w:eastAsia="Cambria Math" w:hAnsi="Cambria Math" w:cs="Times New Roman"/>
                          <w:sz w:val="24"/>
                          <w:szCs w:val="24"/>
                        </w:rPr>
                        <m:t>oferta</m:t>
                      </m:r>
                    </m:sub>
                  </m:sSub>
                </m:den>
              </m:f>
              <m:r>
                <w:rPr>
                  <w:rFonts w:ascii="Cambria Math" w:eastAsia="Cambria Math" w:hAnsi="Cambria Math" w:cs="Times New Roman"/>
                  <w:sz w:val="24"/>
                  <w:szCs w:val="24"/>
                </w:rPr>
                <m:t>*100</m:t>
              </m:r>
            </m:oMath>
            <w:r w:rsidRPr="00655C64">
              <w:rPr>
                <w:rFonts w:ascii="Times New Roman" w:hAnsi="Times New Roman" w:cs="Times New Roman"/>
                <w:sz w:val="24"/>
                <w:szCs w:val="24"/>
              </w:rPr>
              <w:t xml:space="preserve"> </w:t>
            </w:r>
          </w:p>
        </w:tc>
        <w:tc>
          <w:tcPr>
            <w:tcW w:w="1606" w:type="dxa"/>
            <w:shd w:val="clear" w:color="auto" w:fill="auto"/>
            <w:vAlign w:val="center"/>
          </w:tcPr>
          <w:p w14:paraId="0BFB2044" w14:textId="77777777" w:rsidR="008078C1" w:rsidRPr="00655C64" w:rsidRDefault="008078C1" w:rsidP="001F2B85">
            <w:pPr>
              <w:spacing w:after="120"/>
              <w:ind w:firstLine="567"/>
              <w:jc w:val="right"/>
              <w:rPr>
                <w:rFonts w:ascii="Times New Roman" w:hAnsi="Times New Roman" w:cs="Times New Roman"/>
                <w:sz w:val="24"/>
                <w:szCs w:val="24"/>
              </w:rPr>
            </w:pPr>
            <w:r w:rsidRPr="00655C64">
              <w:rPr>
                <w:rFonts w:ascii="Times New Roman" w:hAnsi="Times New Roman" w:cs="Times New Roman"/>
                <w:sz w:val="24"/>
                <w:szCs w:val="24"/>
              </w:rPr>
              <w:t>(2)</w:t>
            </w:r>
          </w:p>
        </w:tc>
      </w:tr>
    </w:tbl>
    <w:p w14:paraId="095BAF9E" w14:textId="77777777" w:rsidR="008078C1" w:rsidRPr="00655C64" w:rsidRDefault="008078C1" w:rsidP="008078C1">
      <w:pPr>
        <w:widowControl w:val="0"/>
        <w:tabs>
          <w:tab w:val="left" w:pos="2880"/>
        </w:tabs>
        <w:spacing w:before="120" w:after="120"/>
        <w:ind w:right="851"/>
        <w:rPr>
          <w:rFonts w:ascii="Times New Roman" w:hAnsi="Times New Roman" w:cs="Times New Roman"/>
          <w:sz w:val="24"/>
          <w:szCs w:val="24"/>
        </w:rPr>
      </w:pPr>
      <w:r w:rsidRPr="00655C64">
        <w:rPr>
          <w:rFonts w:ascii="Times New Roman" w:hAnsi="Times New Roman" w:cs="Times New Roman"/>
          <w:sz w:val="24"/>
          <w:szCs w:val="24"/>
        </w:rPr>
        <w:t>em que:</w:t>
      </w:r>
    </w:p>
    <w:tbl>
      <w:tblPr>
        <w:tblW w:w="5000" w:type="pct"/>
        <w:tblLayout w:type="fixed"/>
        <w:tblLook w:val="0400" w:firstRow="0" w:lastRow="0" w:firstColumn="0" w:lastColumn="0" w:noHBand="0" w:noVBand="1"/>
      </w:tblPr>
      <w:tblGrid>
        <w:gridCol w:w="1744"/>
        <w:gridCol w:w="458"/>
        <w:gridCol w:w="6824"/>
      </w:tblGrid>
      <w:tr w:rsidR="008078C1" w:rsidRPr="00655C64" w14:paraId="6699355F" w14:textId="77777777" w:rsidTr="001F2B85">
        <w:tc>
          <w:tcPr>
            <w:tcW w:w="1855" w:type="dxa"/>
            <w:shd w:val="clear" w:color="auto" w:fill="auto"/>
          </w:tcPr>
          <w:p w14:paraId="1D6CEA5C" w14:textId="77777777" w:rsidR="008078C1" w:rsidRPr="00655C64" w:rsidRDefault="008078C1" w:rsidP="001F2B85">
            <w:pPr>
              <w:ind w:firstLine="567"/>
              <w:jc w:val="both"/>
              <w:rPr>
                <w:rFonts w:ascii="Times New Roman" w:hAnsi="Times New Roman" w:cs="Times New Roman"/>
                <w:i/>
                <w:sz w:val="24"/>
                <w:szCs w:val="24"/>
              </w:rPr>
            </w:pPr>
            <w:r w:rsidRPr="00655C64">
              <w:rPr>
                <w:rFonts w:ascii="Times New Roman" w:hAnsi="Times New Roman" w:cs="Times New Roman"/>
                <w:sz w:val="24"/>
                <w:szCs w:val="24"/>
              </w:rPr>
              <w:t>BHQ</w:t>
            </w:r>
          </w:p>
        </w:tc>
        <w:tc>
          <w:tcPr>
            <w:tcW w:w="474" w:type="dxa"/>
            <w:shd w:val="clear" w:color="auto" w:fill="auto"/>
          </w:tcPr>
          <w:p w14:paraId="76679A78"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7F9DDFA2"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balanço hídrico quantitativo, porcentagem;</w:t>
            </w:r>
          </w:p>
        </w:tc>
      </w:tr>
      <w:tr w:rsidR="008078C1" w:rsidRPr="00655C64" w14:paraId="06E9847E" w14:textId="77777777" w:rsidTr="001F2B85">
        <w:tc>
          <w:tcPr>
            <w:tcW w:w="1855" w:type="dxa"/>
            <w:shd w:val="clear" w:color="auto" w:fill="auto"/>
          </w:tcPr>
          <w:p w14:paraId="1EA17087" w14:textId="77777777" w:rsidR="008078C1" w:rsidRPr="00655C64" w:rsidRDefault="008078C1" w:rsidP="001F2B85">
            <w:pPr>
              <w:ind w:firstLine="567"/>
              <w:jc w:val="both"/>
              <w:rPr>
                <w:rFonts w:ascii="Times New Roman" w:hAnsi="Times New Roman" w:cs="Times New Roman"/>
                <w:sz w:val="24"/>
                <w:szCs w:val="24"/>
              </w:rPr>
            </w:pPr>
            <w:proofErr w:type="spellStart"/>
            <w:r w:rsidRPr="00655C64">
              <w:rPr>
                <w:rFonts w:ascii="Times New Roman" w:hAnsi="Times New Roman" w:cs="Times New Roman"/>
                <w:sz w:val="24"/>
                <w:szCs w:val="24"/>
              </w:rPr>
              <w:t>Q</w:t>
            </w:r>
            <w:r w:rsidRPr="00655C64">
              <w:rPr>
                <w:rFonts w:ascii="Times New Roman" w:hAnsi="Times New Roman" w:cs="Times New Roman"/>
                <w:sz w:val="24"/>
                <w:szCs w:val="24"/>
                <w:vertAlign w:val="subscript"/>
              </w:rPr>
              <w:t>demanda</w:t>
            </w:r>
            <w:proofErr w:type="spellEnd"/>
          </w:p>
        </w:tc>
        <w:tc>
          <w:tcPr>
            <w:tcW w:w="474" w:type="dxa"/>
            <w:shd w:val="clear" w:color="auto" w:fill="auto"/>
          </w:tcPr>
          <w:p w14:paraId="3266BDEA"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2A908FCD"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vazões outorgadas para uso consultivo para determinada bacia, em m</w:t>
            </w:r>
            <w:r w:rsidRPr="00655C64">
              <w:rPr>
                <w:rFonts w:ascii="Times New Roman" w:hAnsi="Times New Roman" w:cs="Times New Roman"/>
                <w:sz w:val="24"/>
                <w:szCs w:val="24"/>
                <w:vertAlign w:val="superscript"/>
              </w:rPr>
              <w:t>3</w:t>
            </w:r>
            <w:r w:rsidRPr="00655C64">
              <w:rPr>
                <w:rFonts w:ascii="Times New Roman" w:hAnsi="Times New Roman" w:cs="Times New Roman"/>
                <w:sz w:val="24"/>
                <w:szCs w:val="24"/>
              </w:rPr>
              <w:t> s</w:t>
            </w:r>
            <w:r w:rsidRPr="00655C64">
              <w:rPr>
                <w:rFonts w:ascii="Times New Roman" w:hAnsi="Times New Roman" w:cs="Times New Roman"/>
                <w:sz w:val="24"/>
                <w:szCs w:val="24"/>
                <w:vertAlign w:val="superscript"/>
              </w:rPr>
              <w:t>-1</w:t>
            </w:r>
            <w:r w:rsidRPr="00655C64">
              <w:rPr>
                <w:rFonts w:ascii="Times New Roman" w:hAnsi="Times New Roman" w:cs="Times New Roman"/>
                <w:sz w:val="24"/>
                <w:szCs w:val="24"/>
              </w:rPr>
              <w:t>; e</w:t>
            </w:r>
          </w:p>
        </w:tc>
      </w:tr>
      <w:tr w:rsidR="008078C1" w:rsidRPr="00655C64" w14:paraId="42B41407" w14:textId="77777777" w:rsidTr="001F2B85">
        <w:tc>
          <w:tcPr>
            <w:tcW w:w="1855" w:type="dxa"/>
            <w:shd w:val="clear" w:color="auto" w:fill="auto"/>
          </w:tcPr>
          <w:p w14:paraId="478C8128" w14:textId="77777777" w:rsidR="008078C1" w:rsidRPr="00655C64" w:rsidRDefault="008078C1" w:rsidP="001F2B85">
            <w:pPr>
              <w:ind w:firstLine="567"/>
              <w:jc w:val="both"/>
              <w:rPr>
                <w:rFonts w:ascii="Times New Roman" w:hAnsi="Times New Roman" w:cs="Times New Roman"/>
                <w:sz w:val="24"/>
                <w:szCs w:val="24"/>
              </w:rPr>
            </w:pPr>
            <w:proofErr w:type="spellStart"/>
            <w:r w:rsidRPr="00655C64">
              <w:rPr>
                <w:rFonts w:ascii="Times New Roman" w:hAnsi="Times New Roman" w:cs="Times New Roman"/>
                <w:sz w:val="24"/>
                <w:szCs w:val="24"/>
              </w:rPr>
              <w:t>Q</w:t>
            </w:r>
            <w:r w:rsidRPr="00655C64">
              <w:rPr>
                <w:rFonts w:ascii="Times New Roman" w:hAnsi="Times New Roman" w:cs="Times New Roman"/>
                <w:sz w:val="24"/>
                <w:szCs w:val="24"/>
                <w:vertAlign w:val="subscript"/>
              </w:rPr>
              <w:t>oferta</w:t>
            </w:r>
            <w:proofErr w:type="spellEnd"/>
          </w:p>
        </w:tc>
        <w:tc>
          <w:tcPr>
            <w:tcW w:w="474" w:type="dxa"/>
            <w:shd w:val="clear" w:color="auto" w:fill="auto"/>
          </w:tcPr>
          <w:p w14:paraId="7443BBE3"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w:t>
            </w:r>
          </w:p>
        </w:tc>
        <w:tc>
          <w:tcPr>
            <w:tcW w:w="7310" w:type="dxa"/>
            <w:shd w:val="clear" w:color="auto" w:fill="auto"/>
          </w:tcPr>
          <w:p w14:paraId="658BE3EE" w14:textId="77777777" w:rsidR="008078C1" w:rsidRPr="00655C64" w:rsidRDefault="008078C1" w:rsidP="001F2B85">
            <w:pPr>
              <w:jc w:val="both"/>
              <w:rPr>
                <w:rFonts w:ascii="Times New Roman" w:hAnsi="Times New Roman" w:cs="Times New Roman"/>
                <w:sz w:val="24"/>
                <w:szCs w:val="24"/>
              </w:rPr>
            </w:pPr>
            <w:r w:rsidRPr="00655C64">
              <w:rPr>
                <w:rFonts w:ascii="Times New Roman" w:hAnsi="Times New Roman" w:cs="Times New Roman"/>
                <w:sz w:val="24"/>
                <w:szCs w:val="24"/>
              </w:rPr>
              <w:t>vazão de referência para o Estado de Mato Grosso (70% da Q</w:t>
            </w:r>
            <w:r w:rsidRPr="00655C64">
              <w:rPr>
                <w:rFonts w:ascii="Times New Roman" w:hAnsi="Times New Roman" w:cs="Times New Roman"/>
                <w:sz w:val="24"/>
                <w:szCs w:val="24"/>
                <w:vertAlign w:val="subscript"/>
              </w:rPr>
              <w:t>95</w:t>
            </w:r>
            <w:r w:rsidRPr="00655C64">
              <w:rPr>
                <w:rFonts w:ascii="Times New Roman" w:hAnsi="Times New Roman" w:cs="Times New Roman"/>
                <w:sz w:val="24"/>
                <w:szCs w:val="24"/>
              </w:rPr>
              <w:t>) em base mensal e anual.</w:t>
            </w:r>
          </w:p>
        </w:tc>
      </w:tr>
    </w:tbl>
    <w:p w14:paraId="11711FF8" w14:textId="77777777" w:rsidR="008078C1" w:rsidRDefault="008078C1" w:rsidP="008078C1">
      <w:pPr>
        <w:spacing w:line="360" w:lineRule="auto"/>
        <w:ind w:firstLine="567"/>
        <w:jc w:val="both"/>
        <w:rPr>
          <w:rFonts w:ascii="Times New Roman" w:hAnsi="Times New Roman" w:cs="Times New Roman"/>
          <w:sz w:val="24"/>
          <w:szCs w:val="24"/>
        </w:rPr>
      </w:pPr>
    </w:p>
    <w:p w14:paraId="56B522E0" w14:textId="77777777" w:rsidR="009209D3" w:rsidRDefault="009209D3" w:rsidP="008078C1">
      <w:pPr>
        <w:spacing w:line="360" w:lineRule="auto"/>
        <w:ind w:firstLine="567"/>
        <w:jc w:val="both"/>
        <w:rPr>
          <w:rFonts w:ascii="Times New Roman" w:hAnsi="Times New Roman" w:cs="Times New Roman"/>
          <w:sz w:val="24"/>
          <w:szCs w:val="24"/>
        </w:rPr>
      </w:pPr>
    </w:p>
    <w:p w14:paraId="2F429D25" w14:textId="12FEAAF6" w:rsidR="004D3F71" w:rsidRPr="00655C64" w:rsidRDefault="000E3B4F" w:rsidP="00C14DC2">
      <w:pPr>
        <w:numPr>
          <w:ilvl w:val="0"/>
          <w:numId w:val="1"/>
        </w:numPr>
        <w:ind w:left="308" w:hanging="294"/>
        <w:rPr>
          <w:rFonts w:ascii="Times New Roman" w:eastAsia="Times New Roman" w:hAnsi="Times New Roman" w:cs="Times New Roman"/>
          <w:b/>
          <w:kern w:val="0"/>
          <w:sz w:val="24"/>
          <w:szCs w:val="24"/>
          <w:lang w:eastAsia="pt-BR"/>
          <w14:ligatures w14:val="none"/>
        </w:rPr>
      </w:pPr>
      <w:r w:rsidRPr="00655C64">
        <w:rPr>
          <w:rFonts w:ascii="Times New Roman" w:eastAsia="Times New Roman" w:hAnsi="Times New Roman" w:cs="Times New Roman"/>
          <w:b/>
          <w:kern w:val="0"/>
          <w:sz w:val="24"/>
          <w:szCs w:val="24"/>
          <w:lang w:eastAsia="pt-BR"/>
          <w14:ligatures w14:val="none"/>
        </w:rPr>
        <w:lastRenderedPageBreak/>
        <w:t xml:space="preserve">Resultados </w:t>
      </w:r>
      <w:r w:rsidR="006B0718">
        <w:rPr>
          <w:rFonts w:ascii="Times New Roman" w:eastAsia="Times New Roman" w:hAnsi="Times New Roman" w:cs="Times New Roman"/>
          <w:b/>
          <w:kern w:val="0"/>
          <w:sz w:val="24"/>
          <w:szCs w:val="24"/>
          <w:lang w:eastAsia="pt-BR"/>
          <w14:ligatures w14:val="none"/>
        </w:rPr>
        <w:t>parciais</w:t>
      </w:r>
    </w:p>
    <w:p w14:paraId="7B0EF261" w14:textId="77777777" w:rsidR="00C14DC2" w:rsidRDefault="00C14DC2" w:rsidP="004D3F71">
      <w:pPr>
        <w:spacing w:line="360" w:lineRule="auto"/>
        <w:ind w:firstLine="567"/>
        <w:jc w:val="both"/>
        <w:rPr>
          <w:rFonts w:ascii="Times New Roman" w:eastAsia="Times New Roman" w:hAnsi="Times New Roman" w:cs="Times New Roman"/>
          <w:sz w:val="24"/>
          <w:szCs w:val="24"/>
        </w:rPr>
      </w:pPr>
    </w:p>
    <w:p w14:paraId="29934E83" w14:textId="4C232353" w:rsidR="004D3F71" w:rsidRPr="00655C64" w:rsidRDefault="0091260C"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 xml:space="preserve">Considerando que o presente </w:t>
      </w:r>
      <w:r w:rsidR="00B722A3" w:rsidRPr="00655C64">
        <w:rPr>
          <w:rFonts w:ascii="Times New Roman" w:eastAsia="Times New Roman" w:hAnsi="Times New Roman" w:cs="Times New Roman"/>
          <w:sz w:val="24"/>
          <w:szCs w:val="24"/>
        </w:rPr>
        <w:t xml:space="preserve">documento </w:t>
      </w:r>
      <w:r w:rsidR="00FD21A6" w:rsidRPr="00655C64">
        <w:rPr>
          <w:rFonts w:ascii="Times New Roman" w:eastAsia="Times New Roman" w:hAnsi="Times New Roman" w:cs="Times New Roman"/>
          <w:sz w:val="24"/>
          <w:szCs w:val="24"/>
        </w:rPr>
        <w:t>se trata</w:t>
      </w:r>
      <w:r w:rsidR="00B722A3" w:rsidRPr="00655C64">
        <w:rPr>
          <w:rFonts w:ascii="Times New Roman" w:eastAsia="Times New Roman" w:hAnsi="Times New Roman" w:cs="Times New Roman"/>
          <w:sz w:val="24"/>
          <w:szCs w:val="24"/>
        </w:rPr>
        <w:t xml:space="preserve"> de um relatório parcial e t</w:t>
      </w:r>
      <w:r w:rsidR="004D3F71" w:rsidRPr="00655C64">
        <w:rPr>
          <w:rFonts w:ascii="Times New Roman" w:eastAsia="Times New Roman" w:hAnsi="Times New Roman" w:cs="Times New Roman"/>
          <w:sz w:val="24"/>
          <w:szCs w:val="24"/>
        </w:rPr>
        <w:t>endo em vista o quantitativo de estações analisadas</w:t>
      </w:r>
      <w:r w:rsidR="002F3A59" w:rsidRPr="00655C64">
        <w:rPr>
          <w:rFonts w:ascii="Times New Roman" w:eastAsia="Times New Roman" w:hAnsi="Times New Roman" w:cs="Times New Roman"/>
          <w:sz w:val="24"/>
          <w:szCs w:val="24"/>
        </w:rPr>
        <w:t xml:space="preserve"> (</w:t>
      </w:r>
      <w:r w:rsidR="002F3A59" w:rsidRPr="00655C64">
        <w:rPr>
          <w:rFonts w:ascii="Times New Roman" w:hAnsi="Times New Roman" w:cs="Times New Roman"/>
          <w:sz w:val="24"/>
          <w:szCs w:val="24"/>
        </w:rPr>
        <w:t>73 estações fluviométricas – Figura 2)</w:t>
      </w:r>
      <w:r w:rsidR="00B722A3" w:rsidRPr="00655C64">
        <w:rPr>
          <w:rFonts w:ascii="Times New Roman" w:eastAsia="Times New Roman" w:hAnsi="Times New Roman" w:cs="Times New Roman"/>
          <w:sz w:val="24"/>
          <w:szCs w:val="24"/>
        </w:rPr>
        <w:t>,</w:t>
      </w:r>
      <w:r w:rsidR="004D3F71" w:rsidRPr="00655C64">
        <w:rPr>
          <w:rFonts w:ascii="Times New Roman" w:eastAsia="Times New Roman" w:hAnsi="Times New Roman" w:cs="Times New Roman"/>
          <w:sz w:val="24"/>
          <w:szCs w:val="24"/>
        </w:rPr>
        <w:t xml:space="preserve"> a fim de ilustrar as diferenças na disponibilidade hídrica para fins de outorga considerando a disponibilidade hídrica sazonal, optou-se em apresentar, considerando sua importância socioeconômica e produtiva no Estado, os resultados para as regiões dos municípios de Sorriso, Sapezal e Campo Novo do Parecis. As Figuras 3, 4 e 5 apresentam os valores obtidos para cada uma das estações localizadas nos municípios mencionados.</w:t>
      </w:r>
    </w:p>
    <w:p w14:paraId="1337C8AA"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Para analisar a disponibilidade hídrica, a vazão de referência adotada, segundo a SEMA (Secretaria de Estado de Meio Ambiente de Mato Grosso), para captações superficiais de uso consuntivo em rios sob domínio do Estado de Mato Grosso é a Q</w:t>
      </w:r>
      <w:r w:rsidRPr="00655C64">
        <w:rPr>
          <w:rFonts w:ascii="Times New Roman" w:eastAsia="Times New Roman" w:hAnsi="Times New Roman" w:cs="Times New Roman"/>
          <w:sz w:val="24"/>
          <w:szCs w:val="24"/>
          <w:vertAlign w:val="subscript"/>
        </w:rPr>
        <w:t>95</w:t>
      </w:r>
      <w:r w:rsidRPr="00655C64">
        <w:rPr>
          <w:rFonts w:ascii="Times New Roman" w:eastAsia="Times New Roman" w:hAnsi="Times New Roman" w:cs="Times New Roman"/>
          <w:sz w:val="24"/>
          <w:szCs w:val="24"/>
        </w:rPr>
        <w:t>, que corresponde à vazão de permanência em 95% do tempo. Já a vazão máxima passível de outorga para usos consuntivos no estado equivale a até 70% da Q</w:t>
      </w:r>
      <w:r w:rsidRPr="00655C64">
        <w:rPr>
          <w:rFonts w:ascii="Times New Roman" w:eastAsia="Times New Roman" w:hAnsi="Times New Roman" w:cs="Times New Roman"/>
          <w:sz w:val="24"/>
          <w:szCs w:val="24"/>
          <w:vertAlign w:val="subscript"/>
        </w:rPr>
        <w:t>95</w:t>
      </w:r>
      <w:r w:rsidRPr="00655C64">
        <w:rPr>
          <w:rFonts w:ascii="Times New Roman" w:eastAsia="Times New Roman" w:hAnsi="Times New Roman" w:cs="Times New Roman"/>
          <w:sz w:val="24"/>
          <w:szCs w:val="24"/>
        </w:rPr>
        <w:t>.</w:t>
      </w:r>
    </w:p>
    <w:p w14:paraId="15AB9B07" w14:textId="77777777" w:rsidR="004D3F71" w:rsidRPr="00655C64" w:rsidRDefault="004D3F71" w:rsidP="004D3F71">
      <w:pPr>
        <w:spacing w:line="240" w:lineRule="auto"/>
        <w:jc w:val="both"/>
        <w:rPr>
          <w:rFonts w:ascii="Times New Roman" w:eastAsia="Times New Roman" w:hAnsi="Times New Roman" w:cs="Times New Roman"/>
          <w:sz w:val="24"/>
          <w:szCs w:val="24"/>
        </w:rPr>
      </w:pPr>
      <w:r w:rsidRPr="00655C64">
        <w:rPr>
          <w:rFonts w:ascii="Times New Roman" w:hAnsi="Times New Roman" w:cs="Times New Roman"/>
          <w:noProof/>
          <w:sz w:val="24"/>
          <w:szCs w:val="24"/>
        </w:rPr>
        <w:drawing>
          <wp:inline distT="0" distB="0" distL="0" distR="0" wp14:anchorId="4C2A4F59" wp14:editId="0E32EE30">
            <wp:extent cx="5733415" cy="3173413"/>
            <wp:effectExtent l="0" t="0" r="635" b="8255"/>
            <wp:docPr id="2043612010" name="Gráfico 1">
              <a:extLst xmlns:a="http://schemas.openxmlformats.org/drawingml/2006/main">
                <a:ext uri="{FF2B5EF4-FFF2-40B4-BE49-F238E27FC236}">
                  <a16:creationId xmlns:a16="http://schemas.microsoft.com/office/drawing/2014/main" id="{3A6B70AE-EEDA-0EE6-1FC5-BE00753EF7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55C64">
        <w:rPr>
          <w:rFonts w:ascii="Times New Roman" w:eastAsia="Times New Roman" w:hAnsi="Times New Roman" w:cs="Times New Roman"/>
          <w:sz w:val="24"/>
          <w:szCs w:val="24"/>
        </w:rPr>
        <w:t xml:space="preserve"> </w:t>
      </w:r>
    </w:p>
    <w:p w14:paraId="3CE2E111" w14:textId="77777777" w:rsidR="00CA331A" w:rsidRPr="00CA331A" w:rsidRDefault="00CA331A" w:rsidP="00C34DC2">
      <w:pPr>
        <w:spacing w:line="360" w:lineRule="auto"/>
        <w:ind w:left="1344" w:hanging="1344"/>
        <w:jc w:val="both"/>
        <w:rPr>
          <w:rFonts w:ascii="Times New Roman" w:hAnsi="Times New Roman" w:cs="Times New Roman"/>
          <w:sz w:val="24"/>
          <w:szCs w:val="24"/>
        </w:rPr>
      </w:pPr>
      <w:r w:rsidRPr="00C34DC2">
        <w:rPr>
          <w:rFonts w:ascii="Times New Roman" w:hAnsi="Times New Roman" w:cs="Times New Roman"/>
          <w:b/>
          <w:bCs/>
          <w:sz w:val="24"/>
          <w:szCs w:val="24"/>
        </w:rPr>
        <w:t>Figura 3</w:t>
      </w:r>
      <w:r w:rsidRPr="00CA331A">
        <w:rPr>
          <w:rFonts w:ascii="Times New Roman" w:hAnsi="Times New Roman" w:cs="Times New Roman"/>
          <w:sz w:val="24"/>
          <w:szCs w:val="24"/>
        </w:rPr>
        <w:t xml:space="preserve"> – Vazões mensais e anual da vazão mínima de referência Q</w:t>
      </w:r>
      <w:r w:rsidRPr="008A4628">
        <w:rPr>
          <w:rFonts w:ascii="Times New Roman" w:hAnsi="Times New Roman" w:cs="Times New Roman"/>
          <w:sz w:val="24"/>
          <w:szCs w:val="24"/>
          <w:vertAlign w:val="subscript"/>
        </w:rPr>
        <w:t>95</w:t>
      </w:r>
      <w:r w:rsidRPr="00CA331A">
        <w:rPr>
          <w:rFonts w:ascii="Times New Roman" w:hAnsi="Times New Roman" w:cs="Times New Roman"/>
          <w:sz w:val="24"/>
          <w:szCs w:val="24"/>
        </w:rPr>
        <w:t xml:space="preserve"> da estação fluviométrica 17210000, localizada no município de Sorriso - MT.</w:t>
      </w:r>
    </w:p>
    <w:p w14:paraId="51CCC49A" w14:textId="77777777" w:rsidR="004D3F71" w:rsidRPr="00655C64" w:rsidRDefault="004D3F71" w:rsidP="004D3F71">
      <w:pPr>
        <w:spacing w:after="240" w:line="360" w:lineRule="auto"/>
        <w:ind w:firstLine="567"/>
        <w:jc w:val="both"/>
        <w:rPr>
          <w:rFonts w:ascii="Times New Roman" w:eastAsia="Times New Roman" w:hAnsi="Times New Roman" w:cs="Times New Roman"/>
          <w:sz w:val="24"/>
          <w:szCs w:val="24"/>
        </w:rPr>
      </w:pPr>
    </w:p>
    <w:p w14:paraId="379F3B09" w14:textId="77777777" w:rsidR="004D3F71" w:rsidRPr="00655C64" w:rsidRDefault="004D3F71" w:rsidP="004D3F71">
      <w:pPr>
        <w:spacing w:after="240" w:line="360" w:lineRule="auto"/>
        <w:ind w:firstLine="567"/>
        <w:jc w:val="both"/>
        <w:rPr>
          <w:rFonts w:ascii="Times New Roman" w:eastAsia="Times New Roman" w:hAnsi="Times New Roman" w:cs="Times New Roman"/>
          <w:sz w:val="24"/>
          <w:szCs w:val="24"/>
        </w:rPr>
      </w:pPr>
    </w:p>
    <w:p w14:paraId="4A5FDDD8" w14:textId="77777777" w:rsidR="004D3F71" w:rsidRPr="00655C64" w:rsidRDefault="004D3F71" w:rsidP="004D3F71">
      <w:pPr>
        <w:spacing w:line="240" w:lineRule="auto"/>
        <w:jc w:val="both"/>
        <w:rPr>
          <w:rFonts w:ascii="Times New Roman" w:eastAsia="Times New Roman" w:hAnsi="Times New Roman" w:cs="Times New Roman"/>
          <w:sz w:val="24"/>
          <w:szCs w:val="24"/>
        </w:rPr>
      </w:pPr>
      <w:r w:rsidRPr="00655C64">
        <w:rPr>
          <w:rFonts w:ascii="Times New Roman" w:hAnsi="Times New Roman" w:cs="Times New Roman"/>
          <w:noProof/>
          <w:sz w:val="24"/>
          <w:szCs w:val="24"/>
        </w:rPr>
        <w:lastRenderedPageBreak/>
        <w:drawing>
          <wp:inline distT="0" distB="0" distL="0" distR="0" wp14:anchorId="52E86DA5" wp14:editId="39C33459">
            <wp:extent cx="5733415" cy="3174306"/>
            <wp:effectExtent l="0" t="0" r="635" b="7620"/>
            <wp:docPr id="942006231" name="Gráfico 1">
              <a:extLst xmlns:a="http://schemas.openxmlformats.org/drawingml/2006/main">
                <a:ext uri="{FF2B5EF4-FFF2-40B4-BE49-F238E27FC236}">
                  <a16:creationId xmlns:a16="http://schemas.microsoft.com/office/drawing/2014/main" id="{4E26AAA1-3EBF-14D0-373E-6056393858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F91F1E" w14:textId="77777777" w:rsidR="00CA331A" w:rsidRPr="00C34DC2" w:rsidRDefault="00CA331A" w:rsidP="00C34DC2">
      <w:pPr>
        <w:spacing w:line="360" w:lineRule="auto"/>
        <w:ind w:left="1344" w:hanging="1344"/>
        <w:jc w:val="both"/>
        <w:rPr>
          <w:rFonts w:ascii="Times New Roman" w:hAnsi="Times New Roman" w:cs="Times New Roman"/>
          <w:sz w:val="24"/>
          <w:szCs w:val="24"/>
        </w:rPr>
      </w:pPr>
      <w:r w:rsidRPr="00C34DC2">
        <w:rPr>
          <w:rFonts w:ascii="Times New Roman" w:hAnsi="Times New Roman" w:cs="Times New Roman"/>
          <w:b/>
          <w:bCs/>
          <w:sz w:val="24"/>
          <w:szCs w:val="24"/>
        </w:rPr>
        <w:t xml:space="preserve">Figura 4 – </w:t>
      </w:r>
      <w:r w:rsidRPr="00C34DC2">
        <w:rPr>
          <w:rFonts w:ascii="Times New Roman" w:hAnsi="Times New Roman" w:cs="Times New Roman"/>
          <w:sz w:val="24"/>
          <w:szCs w:val="24"/>
        </w:rPr>
        <w:t>Vazões mensais e anual da vazão mínima de referência Q</w:t>
      </w:r>
      <w:r w:rsidRPr="008A4628">
        <w:rPr>
          <w:rFonts w:ascii="Times New Roman" w:hAnsi="Times New Roman" w:cs="Times New Roman"/>
          <w:sz w:val="24"/>
          <w:szCs w:val="24"/>
          <w:vertAlign w:val="subscript"/>
        </w:rPr>
        <w:t>95</w:t>
      </w:r>
      <w:r w:rsidRPr="00C34DC2">
        <w:rPr>
          <w:rFonts w:ascii="Times New Roman" w:hAnsi="Times New Roman" w:cs="Times New Roman"/>
          <w:sz w:val="24"/>
          <w:szCs w:val="24"/>
        </w:rPr>
        <w:t xml:space="preserve"> da estação fluviométrica 17091000, localizada no município de Sapezal - MT.</w:t>
      </w:r>
    </w:p>
    <w:p w14:paraId="3F3805E4" w14:textId="77777777" w:rsidR="004D3F71" w:rsidRDefault="004D3F71" w:rsidP="004D3F71">
      <w:pPr>
        <w:spacing w:after="240" w:line="360" w:lineRule="auto"/>
        <w:ind w:firstLine="567"/>
        <w:jc w:val="both"/>
        <w:rPr>
          <w:rFonts w:ascii="Times New Roman" w:eastAsia="Times New Roman" w:hAnsi="Times New Roman" w:cs="Times New Roman"/>
          <w:sz w:val="24"/>
          <w:szCs w:val="24"/>
        </w:rPr>
      </w:pPr>
    </w:p>
    <w:p w14:paraId="2DD64C85" w14:textId="77777777" w:rsidR="00CA331A" w:rsidRPr="00655C64" w:rsidRDefault="00CA331A" w:rsidP="004D3F71">
      <w:pPr>
        <w:spacing w:after="240" w:line="360" w:lineRule="auto"/>
        <w:ind w:firstLine="567"/>
        <w:jc w:val="both"/>
        <w:rPr>
          <w:rFonts w:ascii="Times New Roman" w:eastAsia="Times New Roman" w:hAnsi="Times New Roman" w:cs="Times New Roman"/>
          <w:sz w:val="24"/>
          <w:szCs w:val="24"/>
        </w:rPr>
      </w:pPr>
    </w:p>
    <w:p w14:paraId="2C273955" w14:textId="77777777" w:rsidR="004D3F71" w:rsidRPr="00655C64" w:rsidRDefault="004D3F71" w:rsidP="004D3F71">
      <w:pPr>
        <w:spacing w:line="240" w:lineRule="auto"/>
        <w:jc w:val="both"/>
        <w:rPr>
          <w:rFonts w:ascii="Times New Roman" w:eastAsia="Times New Roman" w:hAnsi="Times New Roman" w:cs="Times New Roman"/>
          <w:sz w:val="24"/>
          <w:szCs w:val="24"/>
        </w:rPr>
      </w:pPr>
      <w:r w:rsidRPr="00655C64">
        <w:rPr>
          <w:rFonts w:ascii="Times New Roman" w:hAnsi="Times New Roman" w:cs="Times New Roman"/>
          <w:noProof/>
          <w:sz w:val="24"/>
          <w:szCs w:val="24"/>
        </w:rPr>
        <w:drawing>
          <wp:inline distT="0" distB="0" distL="0" distR="0" wp14:anchorId="10BC1945" wp14:editId="1B2224DD">
            <wp:extent cx="5733415" cy="3174306"/>
            <wp:effectExtent l="0" t="0" r="635" b="7620"/>
            <wp:docPr id="925104698" name="Gráfico 1">
              <a:extLst xmlns:a="http://schemas.openxmlformats.org/drawingml/2006/main">
                <a:ext uri="{FF2B5EF4-FFF2-40B4-BE49-F238E27FC236}">
                  <a16:creationId xmlns:a16="http://schemas.microsoft.com/office/drawing/2014/main" id="{D542365A-AF1B-364C-86D9-260EE90C89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55C64">
        <w:rPr>
          <w:rFonts w:ascii="Times New Roman" w:eastAsia="Times New Roman" w:hAnsi="Times New Roman" w:cs="Times New Roman"/>
          <w:sz w:val="24"/>
          <w:szCs w:val="24"/>
        </w:rPr>
        <w:t xml:space="preserve"> </w:t>
      </w:r>
    </w:p>
    <w:p w14:paraId="1862CB9A" w14:textId="77777777" w:rsidR="00CA331A" w:rsidRPr="00C34DC2" w:rsidRDefault="00CA331A" w:rsidP="00C34DC2">
      <w:pPr>
        <w:spacing w:line="360" w:lineRule="auto"/>
        <w:ind w:left="1344" w:hanging="1344"/>
        <w:jc w:val="both"/>
        <w:rPr>
          <w:rFonts w:ascii="Times New Roman" w:hAnsi="Times New Roman" w:cs="Times New Roman"/>
          <w:sz w:val="24"/>
          <w:szCs w:val="24"/>
        </w:rPr>
      </w:pPr>
      <w:r w:rsidRPr="00C34DC2">
        <w:rPr>
          <w:rFonts w:ascii="Times New Roman" w:hAnsi="Times New Roman" w:cs="Times New Roman"/>
          <w:b/>
          <w:bCs/>
          <w:sz w:val="24"/>
          <w:szCs w:val="24"/>
        </w:rPr>
        <w:t xml:space="preserve">Figura 5 – </w:t>
      </w:r>
      <w:r w:rsidRPr="00C34DC2">
        <w:rPr>
          <w:rFonts w:ascii="Times New Roman" w:hAnsi="Times New Roman" w:cs="Times New Roman"/>
          <w:sz w:val="24"/>
          <w:szCs w:val="24"/>
        </w:rPr>
        <w:t>Vazões mensais e anual da vazão mínima de referência Q</w:t>
      </w:r>
      <w:r w:rsidRPr="008A4628">
        <w:rPr>
          <w:rFonts w:ascii="Times New Roman" w:hAnsi="Times New Roman" w:cs="Times New Roman"/>
          <w:sz w:val="24"/>
          <w:szCs w:val="24"/>
          <w:vertAlign w:val="subscript"/>
        </w:rPr>
        <w:t>95</w:t>
      </w:r>
      <w:r w:rsidRPr="00C34DC2">
        <w:rPr>
          <w:rFonts w:ascii="Times New Roman" w:hAnsi="Times New Roman" w:cs="Times New Roman"/>
          <w:sz w:val="24"/>
          <w:szCs w:val="24"/>
        </w:rPr>
        <w:t xml:space="preserve"> da estação fluviométrica 17092800, localizada no município de Campo Novo do Parecis - MT.</w:t>
      </w:r>
    </w:p>
    <w:p w14:paraId="08C5D87F"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lastRenderedPageBreak/>
        <w:t>As três estações apresentaram um aumento significativo nos meses de maior disponibilidade hídrica, principalmente nos meses de janeiro a abril, atingindo o ápice no mês de março nas estações. Porém, nos meses de junho a novembro, ocorreu, em geral, uma maior limitação de retirada de água dos rios quando comparado com a vazão anual. Dessa forma, o critério de outorga mensal reflete a variação da disponibilidade hídrica, permitindo um maior uso da água nos períodos de maior disponibilidade e impondo restrições mais adequadas durante os períodos críticos de seca, conforme ilustrado nos gráficos. Portanto, a redução da vazão de outorga nos meses de menor disponibilidade de água é essencial para reduzir a escassez ou impactos ambientais indesejados.</w:t>
      </w:r>
    </w:p>
    <w:p w14:paraId="290F35F0"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No município de Sorriso, no mês de março, a vazão outorgável mensal apresentou um aumento de 314% em relação à anual, evidenciando um grande potencial para otimizar a produção do agronegócio e aumentar os retornos financeiros. Em Campo Novo do Parecis, no mês de maior disponibilidade hídrica, houve um acréscimo de 23% em comparação à vazão anual. No entanto, em agosto, há uma limitação de 12% em relação à vazão outorgável anual, o que significa que a captação de água dos cursos hídricos nesse período deve ser 12% menor do que o volume permitido considerando a média anual. Para Sapezal, há aumento de 15% e restrição de 2,3% no mês de setembro, mostrando que há variações quanto a restrição e ampliação de vazão a depender da localidade.</w:t>
      </w:r>
    </w:p>
    <w:p w14:paraId="4794FBB3"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Ademais, é necessário ressaltar que se a vazão anual é superior à média mensal em alguns meses, significa que existem meses com vazões abaixo da média anual, caracterizando uma forte variação sazonal. É o que ocorre nas regiões estudadas nos meses de junho a outubro para Campo Novo do Parecis e de agosto a outubro para Sapezal e Sorriso. Além disso, é possível concluir que no mês de outubro é o início da estação chuvosa da região. Porém, somente nos meses seguintes há um aumento significativo da vazão. Esse fato ocorre em razão do solo estar bastante seco devido ao longo período de seca. As chuvas que começam em outubro aumentam inicialmente a umidade nas camadas superficiais do solo, mas não afetam diretamente o nível do lençol freático, o que não resulta em um aumento imediato nas vazões (</w:t>
      </w:r>
      <w:proofErr w:type="spellStart"/>
      <w:r w:rsidRPr="00655C64">
        <w:rPr>
          <w:rFonts w:ascii="Times New Roman" w:eastAsia="Times New Roman" w:hAnsi="Times New Roman" w:cs="Times New Roman"/>
          <w:sz w:val="24"/>
          <w:szCs w:val="24"/>
        </w:rPr>
        <w:t>Pruski</w:t>
      </w:r>
      <w:proofErr w:type="spellEnd"/>
      <w:r w:rsidRPr="00655C64">
        <w:rPr>
          <w:rFonts w:ascii="Times New Roman" w:eastAsia="Times New Roman" w:hAnsi="Times New Roman" w:cs="Times New Roman"/>
          <w:sz w:val="24"/>
          <w:szCs w:val="24"/>
        </w:rPr>
        <w:t xml:space="preserve"> et al., 2014).</w:t>
      </w:r>
    </w:p>
    <w:p w14:paraId="3988CEC1"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Assim, para uma gestão eficiente dos recursos hídricos, é essencial considerar a sazonalidade na definição das vazões outorgáveis, evitando a superexploração nos períodos de menor disponibilidade hídrica. A adoção da Q</w:t>
      </w:r>
      <w:r w:rsidRPr="008A4628">
        <w:rPr>
          <w:rFonts w:ascii="Times New Roman" w:eastAsia="Times New Roman" w:hAnsi="Times New Roman" w:cs="Times New Roman"/>
          <w:sz w:val="24"/>
          <w:szCs w:val="24"/>
          <w:vertAlign w:val="subscript"/>
        </w:rPr>
        <w:t>95</w:t>
      </w:r>
      <w:r w:rsidRPr="00655C64">
        <w:rPr>
          <w:rFonts w:ascii="Times New Roman" w:eastAsia="Times New Roman" w:hAnsi="Times New Roman" w:cs="Times New Roman"/>
          <w:sz w:val="24"/>
          <w:szCs w:val="24"/>
        </w:rPr>
        <w:t xml:space="preserve"> como referência para a outorga contribui para a proteção dos rios durante os períodos de estiagem, garantindo um uso mais sustentável da água. Portanto, é possível perceber que a vazão outorgável em base anual e em base mensal </w:t>
      </w:r>
      <w:r w:rsidRPr="00655C64">
        <w:rPr>
          <w:rFonts w:ascii="Times New Roman" w:eastAsia="Times New Roman" w:hAnsi="Times New Roman" w:cs="Times New Roman"/>
          <w:sz w:val="24"/>
          <w:szCs w:val="24"/>
        </w:rPr>
        <w:lastRenderedPageBreak/>
        <w:t>paras essas regiões é sempre menor que a vazão média mensal garantindo que nos meses de menor vazão haja água escoando nos rios.</w:t>
      </w:r>
    </w:p>
    <w:p w14:paraId="50709BF4"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Conforme apresenta-se na Figura 7, foi analisada o Balanço Hídrico Quantitativo (BHQ) para algumas sub-bacias do estado de Mato Grosso com o objetivo de identificar quanto da oferta hídrica está sendo utilizada para atendimento dos usos consuntivos, em base anual e mensal.</w:t>
      </w:r>
    </w:p>
    <w:p w14:paraId="0B1BB151"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p>
    <w:p w14:paraId="5C52E75D" w14:textId="77777777" w:rsidR="004D3F71" w:rsidRPr="00655C64" w:rsidRDefault="004D3F71" w:rsidP="004D3F71">
      <w:pPr>
        <w:spacing w:line="240" w:lineRule="auto"/>
        <w:jc w:val="both"/>
        <w:rPr>
          <w:rFonts w:ascii="Times New Roman" w:eastAsia="Times New Roman" w:hAnsi="Times New Roman" w:cs="Times New Roman"/>
          <w:sz w:val="24"/>
          <w:szCs w:val="24"/>
        </w:rPr>
      </w:pPr>
      <w:r w:rsidRPr="00655C64">
        <w:rPr>
          <w:rFonts w:ascii="Times New Roman" w:hAnsi="Times New Roman" w:cs="Times New Roman"/>
          <w:noProof/>
          <w:sz w:val="24"/>
          <w:szCs w:val="24"/>
        </w:rPr>
        <w:drawing>
          <wp:inline distT="0" distB="0" distL="0" distR="0" wp14:anchorId="07ECFFFD" wp14:editId="2A254E40">
            <wp:extent cx="5733415" cy="4101501"/>
            <wp:effectExtent l="0" t="0" r="635" b="0"/>
            <wp:docPr id="1318635061"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35061" name="Imagem 2" descr="Diagrama&#10;&#10;O conteúdo gerado por IA pode estar incorreto."/>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733415" cy="4101501"/>
                    </a:xfrm>
                    <a:prstGeom prst="rect">
                      <a:avLst/>
                    </a:prstGeom>
                    <a:ln>
                      <a:noFill/>
                    </a:ln>
                    <a:extLst>
                      <a:ext uri="{53640926-AAD7-44D8-BBD7-CCE9431645EC}">
                        <a14:shadowObscured xmlns:a14="http://schemas.microsoft.com/office/drawing/2010/main"/>
                      </a:ext>
                    </a:extLst>
                  </pic:spPr>
                </pic:pic>
              </a:graphicData>
            </a:graphic>
          </wp:inline>
        </w:drawing>
      </w:r>
    </w:p>
    <w:p w14:paraId="79DAD86A" w14:textId="77777777" w:rsidR="00CA331A" w:rsidRPr="00CA331A" w:rsidRDefault="00CA331A" w:rsidP="00CA331A">
      <w:pPr>
        <w:spacing w:line="360" w:lineRule="auto"/>
        <w:jc w:val="both"/>
        <w:rPr>
          <w:rFonts w:ascii="Times New Roman" w:hAnsi="Times New Roman" w:cs="Times New Roman"/>
          <w:sz w:val="24"/>
          <w:szCs w:val="24"/>
        </w:rPr>
      </w:pPr>
      <w:r w:rsidRPr="00C34DC2">
        <w:rPr>
          <w:rFonts w:ascii="Times New Roman" w:hAnsi="Times New Roman" w:cs="Times New Roman"/>
          <w:b/>
          <w:bCs/>
          <w:sz w:val="24"/>
          <w:szCs w:val="24"/>
        </w:rPr>
        <w:t>Figura 7</w:t>
      </w:r>
      <w:r w:rsidRPr="00CA331A">
        <w:rPr>
          <w:rFonts w:ascii="Times New Roman" w:hAnsi="Times New Roman" w:cs="Times New Roman"/>
          <w:sz w:val="24"/>
          <w:szCs w:val="24"/>
        </w:rPr>
        <w:t xml:space="preserve"> – Disponibilidade hídrica em algumas sub-bacias para o estado de Mato Grosso.</w:t>
      </w:r>
    </w:p>
    <w:p w14:paraId="7BFB85E4"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p>
    <w:p w14:paraId="7B4C8338" w14:textId="77777777" w:rsidR="004D3F71" w:rsidRPr="00655C64" w:rsidRDefault="004D3F71" w:rsidP="00C14DC2">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 xml:space="preserve">A análise do gráfico evidencia que a disponibilidade hídrica varia significativamente entre as sub-bacias, com destaque para o Rio Pindaíba e o Cachoeiro, que apresentam os maiores percentuais mensais de comprometimento da disponibilidade hídrica, superiores a 40% na estação seca, representando que essa fração do recurso está destinada ao atendimento de demandas outorgadas, enquanto Cárceres e São Lourenço registram valores inferiores a 16%, indicando diferentes pressões de uso da água. Além disso, nota-se que os meses com maior comprometimento coincidem com a estação seca (geralmente de julho a outubro), uma </w:t>
      </w:r>
      <w:r w:rsidRPr="00655C64">
        <w:rPr>
          <w:rFonts w:ascii="Times New Roman" w:eastAsia="Times New Roman" w:hAnsi="Times New Roman" w:cs="Times New Roman"/>
          <w:sz w:val="24"/>
          <w:szCs w:val="24"/>
        </w:rPr>
        <w:lastRenderedPageBreak/>
        <w:t xml:space="preserve">tendência de intensificação do uso em função da redução natural das vazões, ressaltando a necessidade de maior cautela na concessão de outorgas nesse período. </w:t>
      </w:r>
    </w:p>
    <w:p w14:paraId="4153043D"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Por outro lado, quando se utiliza a base anual, a disponibilidade hídrica é representada por um valor único e constante ao longo de todo o ano. No Rio Pindaíba, por exemplo, foi verificada uma subestimação de 11% do uso real dos recursos hídricos em outubro, enquanto em março observou-se uma superestimação de 25% do uso nesse período. Dessa forma, a base anual não capta as variações mensais e tende a suavizar o comprometimento dos recursos hídricos em épocas de escassez, podendo gerar uma falsa percepção de segurança hídrica. Portanto, a comparação entre as bases mensal e anual mostra que a base anual pode mascarar as variações sazonais da vazão, subestimando o risco nos períodos de estiagem e superestimando em épocas de maior disponibilidade hídrica.</w:t>
      </w:r>
    </w:p>
    <w:p w14:paraId="28D66C9B"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r w:rsidRPr="00655C64">
        <w:rPr>
          <w:rFonts w:ascii="Times New Roman" w:eastAsia="Times New Roman" w:hAnsi="Times New Roman" w:cs="Times New Roman"/>
          <w:sz w:val="24"/>
          <w:szCs w:val="24"/>
        </w:rPr>
        <w:t>O Balanço Hídrico Quantitativo (BHQ) representa a proporção da disponibilidade hídrica comprometida pelos usos consuntivos outorgados e, quando calculado com base mensal, proporcionou uma leitura mais precisa dos momentos críticos de maior pressão, permitindo ajustar as concessões de forma mais adequada à real disponibilidade hídrica ao longo do ano.</w:t>
      </w:r>
    </w:p>
    <w:p w14:paraId="451144FC"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p>
    <w:p w14:paraId="429046BF" w14:textId="77777777" w:rsidR="004D3F71" w:rsidRPr="00655C64" w:rsidRDefault="004D3F71" w:rsidP="004D3F71">
      <w:pPr>
        <w:spacing w:line="360" w:lineRule="auto"/>
        <w:ind w:firstLine="567"/>
        <w:jc w:val="both"/>
        <w:rPr>
          <w:rFonts w:ascii="Times New Roman" w:eastAsia="Times New Roman" w:hAnsi="Times New Roman" w:cs="Times New Roman"/>
          <w:sz w:val="24"/>
          <w:szCs w:val="24"/>
        </w:rPr>
      </w:pPr>
    </w:p>
    <w:p w14:paraId="33F6E701" w14:textId="3A9048EC" w:rsidR="004D3F71" w:rsidRPr="000E3B4F" w:rsidRDefault="00C14DC2" w:rsidP="00C14DC2">
      <w:pPr>
        <w:numPr>
          <w:ilvl w:val="0"/>
          <w:numId w:val="1"/>
        </w:numPr>
        <w:ind w:left="308" w:hanging="294"/>
        <w:rPr>
          <w:rFonts w:ascii="Times New Roman" w:eastAsia="Times New Roman" w:hAnsi="Times New Roman" w:cs="Times New Roman"/>
          <w:b/>
          <w:kern w:val="0"/>
          <w:sz w:val="24"/>
          <w:szCs w:val="24"/>
          <w:lang w:eastAsia="pt-BR"/>
          <w14:ligatures w14:val="none"/>
        </w:rPr>
      </w:pPr>
      <w:bookmarkStart w:id="5" w:name="_heading=h.68q88mte4uws" w:colFirst="0" w:colLast="0"/>
      <w:bookmarkEnd w:id="5"/>
      <w:r>
        <w:rPr>
          <w:rFonts w:ascii="Times New Roman" w:eastAsia="Times New Roman" w:hAnsi="Times New Roman" w:cs="Times New Roman"/>
          <w:b/>
          <w:kern w:val="0"/>
          <w:sz w:val="24"/>
          <w:szCs w:val="24"/>
          <w:lang w:eastAsia="pt-BR"/>
          <w14:ligatures w14:val="none"/>
        </w:rPr>
        <w:t>Considerações</w:t>
      </w:r>
      <w:r w:rsidR="000E3B4F" w:rsidRPr="000E3B4F">
        <w:rPr>
          <w:rFonts w:ascii="Times New Roman" w:eastAsia="Times New Roman" w:hAnsi="Times New Roman" w:cs="Times New Roman"/>
          <w:b/>
          <w:kern w:val="0"/>
          <w:sz w:val="24"/>
          <w:szCs w:val="24"/>
          <w:lang w:eastAsia="pt-BR"/>
          <w14:ligatures w14:val="none"/>
        </w:rPr>
        <w:t xml:space="preserve"> </w:t>
      </w:r>
      <w:r>
        <w:rPr>
          <w:rFonts w:ascii="Times New Roman" w:eastAsia="Times New Roman" w:hAnsi="Times New Roman" w:cs="Times New Roman"/>
          <w:b/>
          <w:kern w:val="0"/>
          <w:sz w:val="24"/>
          <w:szCs w:val="24"/>
          <w:lang w:eastAsia="pt-BR"/>
          <w14:ligatures w14:val="none"/>
        </w:rPr>
        <w:t>parciais</w:t>
      </w:r>
    </w:p>
    <w:p w14:paraId="3A3ACF8F" w14:textId="77777777" w:rsidR="00C14DC2" w:rsidRDefault="00C14DC2" w:rsidP="004D3F71">
      <w:pPr>
        <w:spacing w:line="360" w:lineRule="auto"/>
        <w:ind w:firstLine="567"/>
        <w:jc w:val="both"/>
        <w:rPr>
          <w:rFonts w:ascii="Times New Roman" w:hAnsi="Times New Roman" w:cs="Times New Roman"/>
          <w:sz w:val="24"/>
          <w:szCs w:val="24"/>
        </w:rPr>
      </w:pPr>
    </w:p>
    <w:p w14:paraId="46D8ADBE" w14:textId="77777777" w:rsidR="004D3F71" w:rsidRPr="00C14DC2" w:rsidRDefault="004D3F71" w:rsidP="00C14DC2">
      <w:pPr>
        <w:tabs>
          <w:tab w:val="left" w:pos="851"/>
        </w:tabs>
        <w:spacing w:after="0" w:line="360" w:lineRule="auto"/>
        <w:ind w:firstLine="574"/>
        <w:jc w:val="both"/>
        <w:rPr>
          <w:rFonts w:ascii="Times New Roman" w:hAnsi="Times New Roman" w:cs="Times New Roman"/>
          <w:sz w:val="24"/>
          <w:szCs w:val="24"/>
        </w:rPr>
      </w:pPr>
      <w:r w:rsidRPr="00C14DC2">
        <w:rPr>
          <w:rFonts w:ascii="Times New Roman" w:hAnsi="Times New Roman" w:cs="Times New Roman"/>
          <w:sz w:val="24"/>
          <w:szCs w:val="24"/>
        </w:rPr>
        <w:t>O uso de critérios de outorga baseados nas vazões mensais pode ampliar a disponibilidade de recursos hídricos ao considerar variações sazonais mais realistas;</w:t>
      </w:r>
    </w:p>
    <w:p w14:paraId="018E1F21" w14:textId="77777777" w:rsidR="004D3F71" w:rsidRPr="00C14DC2" w:rsidRDefault="004D3F71" w:rsidP="00C14DC2">
      <w:pPr>
        <w:tabs>
          <w:tab w:val="left" w:pos="851"/>
        </w:tabs>
        <w:spacing w:after="0" w:line="360" w:lineRule="auto"/>
        <w:ind w:firstLine="574"/>
        <w:jc w:val="both"/>
        <w:rPr>
          <w:rFonts w:ascii="Times New Roman" w:hAnsi="Times New Roman" w:cs="Times New Roman"/>
          <w:sz w:val="24"/>
          <w:szCs w:val="24"/>
        </w:rPr>
      </w:pPr>
      <w:r w:rsidRPr="00C14DC2">
        <w:rPr>
          <w:rFonts w:ascii="Times New Roman" w:hAnsi="Times New Roman" w:cs="Times New Roman"/>
          <w:sz w:val="24"/>
          <w:szCs w:val="24"/>
        </w:rPr>
        <w:t>Nos meses de menor disponibilidade hídrica, especialmente de agosto a outubro, a vazão mensal é inferior à anual, indicando que nesses meses não há aumento da disponibilidade hídrica quando se utiliza a vazão mensal; e</w:t>
      </w:r>
    </w:p>
    <w:p w14:paraId="444CE4F1" w14:textId="77777777" w:rsidR="004D3F71" w:rsidRPr="00C14DC2" w:rsidRDefault="004D3F71" w:rsidP="00C14DC2">
      <w:pPr>
        <w:tabs>
          <w:tab w:val="left" w:pos="851"/>
        </w:tabs>
        <w:spacing w:after="0" w:line="360" w:lineRule="auto"/>
        <w:ind w:firstLine="574"/>
        <w:jc w:val="both"/>
        <w:rPr>
          <w:rFonts w:ascii="Times New Roman" w:hAnsi="Times New Roman" w:cs="Times New Roman"/>
          <w:sz w:val="24"/>
          <w:szCs w:val="24"/>
        </w:rPr>
      </w:pPr>
      <w:r w:rsidRPr="00C14DC2">
        <w:rPr>
          <w:rFonts w:ascii="Times New Roman" w:hAnsi="Times New Roman" w:cs="Times New Roman"/>
          <w:sz w:val="24"/>
          <w:szCs w:val="24"/>
        </w:rPr>
        <w:t>A utilização da vazão mensal permite ajustar a quantidade outorgada conforme as oscilações naturais do regime hidrológico, sendo fundamental para mitigar a escassez de água e minimizar impactos ambientais negativos favorecendo uma gestão mais eficiente e segura.</w:t>
      </w:r>
    </w:p>
    <w:p w14:paraId="54F7D4FB" w14:textId="77777777" w:rsidR="004D3F71" w:rsidRPr="00655C64" w:rsidRDefault="004D3F71" w:rsidP="004D3F71">
      <w:pPr>
        <w:tabs>
          <w:tab w:val="left" w:pos="284"/>
        </w:tabs>
        <w:spacing w:line="360" w:lineRule="auto"/>
        <w:ind w:firstLine="567"/>
        <w:jc w:val="both"/>
        <w:rPr>
          <w:rFonts w:ascii="Times New Roman" w:eastAsia="Times New Roman" w:hAnsi="Times New Roman" w:cs="Times New Roman"/>
          <w:sz w:val="24"/>
          <w:szCs w:val="24"/>
        </w:rPr>
      </w:pPr>
    </w:p>
    <w:p w14:paraId="42B287E9" w14:textId="77777777" w:rsidR="004D3F71" w:rsidRDefault="004D3F71" w:rsidP="004D3F71">
      <w:pPr>
        <w:tabs>
          <w:tab w:val="left" w:pos="284"/>
        </w:tabs>
        <w:spacing w:line="360" w:lineRule="auto"/>
        <w:ind w:firstLine="567"/>
        <w:jc w:val="both"/>
        <w:rPr>
          <w:rFonts w:ascii="Times New Roman" w:eastAsia="Times New Roman" w:hAnsi="Times New Roman" w:cs="Times New Roman"/>
          <w:sz w:val="24"/>
          <w:szCs w:val="24"/>
        </w:rPr>
      </w:pPr>
    </w:p>
    <w:p w14:paraId="5FC3F9C1" w14:textId="77777777" w:rsidR="00CA331A" w:rsidRPr="00655C64" w:rsidRDefault="00CA331A" w:rsidP="004D3F71">
      <w:pPr>
        <w:tabs>
          <w:tab w:val="left" w:pos="284"/>
        </w:tabs>
        <w:spacing w:line="360" w:lineRule="auto"/>
        <w:ind w:firstLine="567"/>
        <w:jc w:val="both"/>
        <w:rPr>
          <w:rFonts w:ascii="Times New Roman" w:eastAsia="Times New Roman" w:hAnsi="Times New Roman" w:cs="Times New Roman"/>
          <w:sz w:val="24"/>
          <w:szCs w:val="24"/>
        </w:rPr>
      </w:pPr>
    </w:p>
    <w:p w14:paraId="5614D09B" w14:textId="67DE956D" w:rsidR="004D3F71" w:rsidRPr="000E3B4F" w:rsidRDefault="000E3B4F" w:rsidP="00C14DC2">
      <w:pPr>
        <w:numPr>
          <w:ilvl w:val="0"/>
          <w:numId w:val="1"/>
        </w:numPr>
        <w:ind w:left="308" w:hanging="294"/>
        <w:rPr>
          <w:rFonts w:ascii="Times New Roman" w:eastAsia="Times New Roman" w:hAnsi="Times New Roman" w:cs="Times New Roman"/>
          <w:b/>
          <w:kern w:val="0"/>
          <w:sz w:val="24"/>
          <w:szCs w:val="24"/>
          <w:lang w:eastAsia="pt-BR"/>
          <w14:ligatures w14:val="none"/>
        </w:rPr>
      </w:pPr>
      <w:bookmarkStart w:id="6" w:name="_Hlk199834464"/>
      <w:r w:rsidRPr="000E3B4F">
        <w:rPr>
          <w:rFonts w:ascii="Times New Roman" w:eastAsia="Times New Roman" w:hAnsi="Times New Roman" w:cs="Times New Roman"/>
          <w:b/>
          <w:kern w:val="0"/>
          <w:sz w:val="24"/>
          <w:szCs w:val="24"/>
          <w:lang w:eastAsia="pt-BR"/>
          <w14:ligatures w14:val="none"/>
        </w:rPr>
        <w:lastRenderedPageBreak/>
        <w:t>Referências</w:t>
      </w:r>
    </w:p>
    <w:bookmarkEnd w:id="6"/>
    <w:p w14:paraId="14E337F5" w14:textId="77777777" w:rsidR="00734F1E" w:rsidRDefault="00734F1E" w:rsidP="000A57F9">
      <w:pPr>
        <w:spacing w:after="120" w:line="276" w:lineRule="auto"/>
        <w:jc w:val="both"/>
        <w:rPr>
          <w:rFonts w:ascii="Times New Roman" w:hAnsi="Times New Roman" w:cs="Times New Roman"/>
          <w:sz w:val="24"/>
          <w:szCs w:val="24"/>
        </w:rPr>
      </w:pPr>
    </w:p>
    <w:p w14:paraId="7793B7C7" w14:textId="60D63605"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ANA, Agência Nacional De Águas e Saneamento Básico. </w:t>
      </w:r>
      <w:r w:rsidRPr="000A57F9">
        <w:rPr>
          <w:rFonts w:ascii="Times New Roman" w:hAnsi="Times New Roman" w:cs="Times New Roman"/>
          <w:b/>
          <w:sz w:val="24"/>
          <w:szCs w:val="24"/>
        </w:rPr>
        <w:t>Divisões de Bacias</w:t>
      </w:r>
      <w:r w:rsidRPr="000A57F9">
        <w:rPr>
          <w:rFonts w:ascii="Times New Roman" w:hAnsi="Times New Roman" w:cs="Times New Roman"/>
          <w:sz w:val="24"/>
          <w:szCs w:val="24"/>
        </w:rPr>
        <w:t>. Sistema Nacional de Informações sobre Recursos Hídricos. Disponível em: &lt;https://portal1.snirh.gov.br/ana/apps/webappviewer/index.html?id=9cc5900ceb0d4c279305d43197980dd8&gt;. Acesso em: 18 maio. 2025.  </w:t>
      </w:r>
    </w:p>
    <w:p w14:paraId="78FE3597"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ANA, Agência Nacional De Águas e Saneamento Básico. </w:t>
      </w:r>
      <w:r w:rsidRPr="000A57F9">
        <w:rPr>
          <w:rFonts w:ascii="Times New Roman" w:hAnsi="Times New Roman" w:cs="Times New Roman"/>
          <w:b/>
          <w:sz w:val="24"/>
          <w:szCs w:val="24"/>
        </w:rPr>
        <w:t>Balanço Hídrico Quantitativo</w:t>
      </w:r>
      <w:r w:rsidRPr="000A57F9">
        <w:rPr>
          <w:rFonts w:ascii="Times New Roman" w:hAnsi="Times New Roman" w:cs="Times New Roman"/>
          <w:sz w:val="24"/>
          <w:szCs w:val="24"/>
        </w:rPr>
        <w:t>. Catálogos e metadados da ANA, 2016. Disponível em: &lt;https://metadados.snirh.gov.br/geonetwork/srv/api/records/35f247ac-b5c4-419e-9bdb-dcb20defb1f4&gt;. Acesso em: 18 maio. 2025.  </w:t>
      </w:r>
    </w:p>
    <w:p w14:paraId="4B5ADC10"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BARROS, Juliana Ramalho; BALERO, Juan Carlos da Silva. A influência do clima e do tempo do Centro-Oeste do Brasil nas condições de voo na região. </w:t>
      </w:r>
      <w:r w:rsidRPr="000A57F9">
        <w:rPr>
          <w:rFonts w:ascii="Times New Roman" w:hAnsi="Times New Roman" w:cs="Times New Roman"/>
          <w:b/>
          <w:bCs/>
          <w:sz w:val="24"/>
          <w:szCs w:val="24"/>
        </w:rPr>
        <w:t>Revista Brasileira de Geografia</w:t>
      </w:r>
      <w:r w:rsidRPr="000A57F9">
        <w:rPr>
          <w:rFonts w:ascii="Times New Roman" w:hAnsi="Times New Roman" w:cs="Times New Roman"/>
          <w:sz w:val="24"/>
          <w:szCs w:val="24"/>
        </w:rPr>
        <w:t>, 2012.</w:t>
      </w:r>
    </w:p>
    <w:p w14:paraId="77B9358A"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CNM, Confederação Nacional de Munícipios. </w:t>
      </w:r>
      <w:r w:rsidRPr="000A57F9">
        <w:rPr>
          <w:rFonts w:ascii="Times New Roman" w:hAnsi="Times New Roman" w:cs="Times New Roman"/>
          <w:b/>
          <w:bCs/>
          <w:sz w:val="24"/>
          <w:szCs w:val="24"/>
        </w:rPr>
        <w:t>Boa Esperança do Norte (MT) se torna Município após decisão do STF</w:t>
      </w:r>
      <w:r w:rsidRPr="000A57F9">
        <w:rPr>
          <w:rFonts w:ascii="Times New Roman" w:hAnsi="Times New Roman" w:cs="Times New Roman"/>
          <w:sz w:val="24"/>
          <w:szCs w:val="24"/>
        </w:rPr>
        <w:t xml:space="preserve">. Disponível em: &lt;https://cnm.org.br/comunicacao/noticias/boa-esperanca-do-norte-mt-se-torna-municipio-apos-decisao-do-stf&gt;. Acesso em: 22 maio. 2025. </w:t>
      </w:r>
    </w:p>
    <w:p w14:paraId="1747E646"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CONSELHO ESTADUAL DE RECURSOS HÍDRICOS (Mato Grosso). Resolução nº 119 DE 07 NOVEMBRO DE 2019. Estabelecer os critérios técnicos a serem aplicados nas análises dos pedidos de outorga de captação/derivação superficial, quanto à disponibilidade hídrica, ao uso racional da água e à garantia de seus usos múltiplos. Disponível em: https://iomat.mt.gov.br/legislacao/diario_oficial/download/214400?utm_source. Acesso em: 24 maio. 2025.</w:t>
      </w:r>
    </w:p>
    <w:p w14:paraId="3C59B7B6"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CRUZ, Jussara Cabral. </w:t>
      </w:r>
      <w:r w:rsidRPr="000A57F9">
        <w:rPr>
          <w:rFonts w:ascii="Times New Roman" w:hAnsi="Times New Roman" w:cs="Times New Roman"/>
          <w:b/>
          <w:bCs/>
          <w:sz w:val="24"/>
          <w:szCs w:val="24"/>
        </w:rPr>
        <w:t>Disponibilidade hídrica para outorga: avaliação dos aspectos técnicos e conceituais</w:t>
      </w:r>
      <w:r w:rsidRPr="000A57F9">
        <w:rPr>
          <w:rFonts w:ascii="Times New Roman" w:hAnsi="Times New Roman" w:cs="Times New Roman"/>
          <w:sz w:val="24"/>
          <w:szCs w:val="24"/>
        </w:rPr>
        <w:t xml:space="preserve">. Dissertação (Doutorado em Engenharia) - Universidade Federal do Rio Grande do Sul, Porto Alegre, 2001. Disponível em: </w:t>
      </w:r>
      <w:hyperlink r:id="rId13" w:history="1">
        <w:r w:rsidRPr="000A57F9">
          <w:rPr>
            <w:rStyle w:val="Hyperlink"/>
            <w:rFonts w:ascii="Times New Roman" w:hAnsi="Times New Roman" w:cs="Times New Roman"/>
            <w:sz w:val="24"/>
            <w:szCs w:val="24"/>
          </w:rPr>
          <w:t>https://lume.ufrgs.br/handle/10183/2602</w:t>
        </w:r>
      </w:hyperlink>
      <w:r w:rsidRPr="000A57F9">
        <w:rPr>
          <w:rFonts w:ascii="Times New Roman" w:hAnsi="Times New Roman" w:cs="Times New Roman"/>
          <w:sz w:val="24"/>
          <w:szCs w:val="24"/>
        </w:rPr>
        <w:t>. Acesso em: 24 maio. 2025.</w:t>
      </w:r>
    </w:p>
    <w:p w14:paraId="58E9A85E"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ANA, Agência Nacional De Águas e Saneamento Básico. </w:t>
      </w:r>
      <w:r w:rsidRPr="000A57F9">
        <w:rPr>
          <w:rFonts w:ascii="Times New Roman" w:hAnsi="Times New Roman" w:cs="Times New Roman"/>
          <w:b/>
          <w:bCs/>
          <w:sz w:val="24"/>
          <w:szCs w:val="24"/>
        </w:rPr>
        <w:t xml:space="preserve">Séries Históricas de Estações. </w:t>
      </w:r>
      <w:r w:rsidRPr="000A57F9">
        <w:rPr>
          <w:rFonts w:ascii="Times New Roman" w:hAnsi="Times New Roman" w:cs="Times New Roman"/>
          <w:sz w:val="24"/>
          <w:szCs w:val="24"/>
        </w:rPr>
        <w:t>HIDROWEB. Disponível em: &lt;https://www.snirh.gov.br/</w:t>
      </w:r>
      <w:proofErr w:type="spellStart"/>
      <w:r w:rsidRPr="000A57F9">
        <w:rPr>
          <w:rFonts w:ascii="Times New Roman" w:hAnsi="Times New Roman" w:cs="Times New Roman"/>
          <w:sz w:val="24"/>
          <w:szCs w:val="24"/>
        </w:rPr>
        <w:t>hidroweb</w:t>
      </w:r>
      <w:proofErr w:type="spellEnd"/>
      <w:r w:rsidRPr="000A57F9">
        <w:rPr>
          <w:rFonts w:ascii="Times New Roman" w:hAnsi="Times New Roman" w:cs="Times New Roman"/>
          <w:sz w:val="24"/>
          <w:szCs w:val="24"/>
        </w:rPr>
        <w:t>/</w:t>
      </w:r>
      <w:proofErr w:type="spellStart"/>
      <w:r w:rsidRPr="000A57F9">
        <w:rPr>
          <w:rFonts w:ascii="Times New Roman" w:hAnsi="Times New Roman" w:cs="Times New Roman"/>
          <w:sz w:val="24"/>
          <w:szCs w:val="24"/>
        </w:rPr>
        <w:t>serieshistoricas</w:t>
      </w:r>
      <w:proofErr w:type="spellEnd"/>
      <w:r w:rsidRPr="000A57F9">
        <w:rPr>
          <w:rFonts w:ascii="Times New Roman" w:hAnsi="Times New Roman" w:cs="Times New Roman"/>
          <w:sz w:val="24"/>
          <w:szCs w:val="24"/>
        </w:rPr>
        <w:t>&gt;. Acesso em: 18 maio. 2025.  </w:t>
      </w:r>
    </w:p>
    <w:p w14:paraId="16ED0387" w14:textId="77777777" w:rsidR="004D3F71" w:rsidRPr="000A57F9" w:rsidRDefault="004D3F71" w:rsidP="000A57F9">
      <w:pPr>
        <w:spacing w:after="120" w:line="276" w:lineRule="auto"/>
        <w:jc w:val="both"/>
        <w:rPr>
          <w:rFonts w:ascii="Times New Roman" w:hAnsi="Times New Roman" w:cs="Times New Roman"/>
          <w:sz w:val="24"/>
          <w:szCs w:val="24"/>
          <w:lang w:val="en-US"/>
        </w:rPr>
      </w:pPr>
      <w:r w:rsidRPr="000A57F9">
        <w:rPr>
          <w:rFonts w:ascii="Times New Roman" w:hAnsi="Times New Roman" w:cs="Times New Roman"/>
          <w:sz w:val="24"/>
          <w:szCs w:val="24"/>
        </w:rPr>
        <w:t xml:space="preserve">IBGE, Instituto Brasileiro De Geografia e Estatística. </w:t>
      </w:r>
      <w:r w:rsidRPr="000A57F9">
        <w:rPr>
          <w:rFonts w:ascii="Times New Roman" w:hAnsi="Times New Roman" w:cs="Times New Roman"/>
          <w:b/>
          <w:sz w:val="24"/>
          <w:szCs w:val="24"/>
        </w:rPr>
        <w:t>IBGE CIDADES</w:t>
      </w:r>
      <w:r w:rsidRPr="000A57F9">
        <w:rPr>
          <w:rFonts w:ascii="Times New Roman" w:hAnsi="Times New Roman" w:cs="Times New Roman"/>
          <w:sz w:val="24"/>
          <w:szCs w:val="24"/>
        </w:rPr>
        <w:t>. Disponível em: &lt;https://cidades.ibge.gov.br/brasil/</w:t>
      </w:r>
      <w:proofErr w:type="spellStart"/>
      <w:r w:rsidRPr="000A57F9">
        <w:rPr>
          <w:rFonts w:ascii="Times New Roman" w:hAnsi="Times New Roman" w:cs="Times New Roman"/>
          <w:sz w:val="24"/>
          <w:szCs w:val="24"/>
        </w:rPr>
        <w:t>mt</w:t>
      </w:r>
      <w:proofErr w:type="spellEnd"/>
      <w:r w:rsidRPr="000A57F9">
        <w:rPr>
          <w:rFonts w:ascii="Times New Roman" w:hAnsi="Times New Roman" w:cs="Times New Roman"/>
          <w:sz w:val="24"/>
          <w:szCs w:val="24"/>
        </w:rPr>
        <w:t>/panorama&gt;. Acesso em: 18 maio. 2025.</w:t>
      </w:r>
    </w:p>
    <w:p w14:paraId="1DAD22AB"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lang w:val="en-US"/>
        </w:rPr>
        <w:t xml:space="preserve">PRUSKI, Fernando F. </w:t>
      </w:r>
      <w:r w:rsidRPr="000A57F9">
        <w:rPr>
          <w:rFonts w:ascii="Times New Roman" w:hAnsi="Times New Roman" w:cs="Times New Roman"/>
          <w:i/>
          <w:sz w:val="24"/>
          <w:szCs w:val="24"/>
          <w:lang w:val="en-US"/>
        </w:rPr>
        <w:t>et al.</w:t>
      </w:r>
      <w:r w:rsidRPr="000A57F9">
        <w:rPr>
          <w:rFonts w:ascii="Times New Roman" w:hAnsi="Times New Roman" w:cs="Times New Roman"/>
          <w:sz w:val="24"/>
          <w:szCs w:val="24"/>
          <w:lang w:val="en-US"/>
        </w:rPr>
        <w:t xml:space="preserve"> Impact of the substitution of reference annual streamflow by monthly streamflow on the potential use of water resources. </w:t>
      </w:r>
      <w:r w:rsidRPr="000A57F9">
        <w:rPr>
          <w:rFonts w:ascii="Times New Roman" w:hAnsi="Times New Roman" w:cs="Times New Roman"/>
          <w:b/>
          <w:sz w:val="24"/>
          <w:szCs w:val="24"/>
        </w:rPr>
        <w:t>Engenharia Agrícola</w:t>
      </w:r>
      <w:r w:rsidRPr="000A57F9">
        <w:rPr>
          <w:rFonts w:ascii="Times New Roman" w:hAnsi="Times New Roman" w:cs="Times New Roman"/>
          <w:sz w:val="24"/>
          <w:szCs w:val="24"/>
        </w:rPr>
        <w:t>, v. 34, n. 3, p. 496–509, jun. 2014.  </w:t>
      </w:r>
    </w:p>
    <w:p w14:paraId="1617BEAF"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RAMOS, </w:t>
      </w:r>
      <w:proofErr w:type="spellStart"/>
      <w:r w:rsidRPr="000A57F9">
        <w:rPr>
          <w:rFonts w:ascii="Times New Roman" w:hAnsi="Times New Roman" w:cs="Times New Roman"/>
          <w:sz w:val="24"/>
          <w:szCs w:val="24"/>
        </w:rPr>
        <w:t>Diovany</w:t>
      </w:r>
      <w:proofErr w:type="spellEnd"/>
      <w:r w:rsidRPr="000A57F9">
        <w:rPr>
          <w:rFonts w:ascii="Times New Roman" w:hAnsi="Times New Roman" w:cs="Times New Roman"/>
          <w:sz w:val="24"/>
          <w:szCs w:val="24"/>
        </w:rPr>
        <w:t xml:space="preserve"> D. </w:t>
      </w:r>
      <w:r w:rsidRPr="000A57F9">
        <w:rPr>
          <w:rFonts w:ascii="Times New Roman" w:hAnsi="Times New Roman" w:cs="Times New Roman"/>
          <w:i/>
          <w:sz w:val="24"/>
          <w:szCs w:val="24"/>
        </w:rPr>
        <w:t>et al.</w:t>
      </w:r>
      <w:r w:rsidRPr="000A57F9">
        <w:rPr>
          <w:rFonts w:ascii="Times New Roman" w:hAnsi="Times New Roman" w:cs="Times New Roman"/>
          <w:sz w:val="24"/>
          <w:szCs w:val="24"/>
        </w:rPr>
        <w:t xml:space="preserve"> </w:t>
      </w:r>
      <w:r w:rsidRPr="000A57F9">
        <w:rPr>
          <w:rFonts w:ascii="Times New Roman" w:hAnsi="Times New Roman" w:cs="Times New Roman"/>
          <w:sz w:val="24"/>
          <w:szCs w:val="24"/>
          <w:lang w:val="en-US"/>
        </w:rPr>
        <w:t xml:space="preserve">Water seasonality in granting permits and impact of irrigation in the </w:t>
      </w:r>
      <w:proofErr w:type="spellStart"/>
      <w:r w:rsidRPr="000A57F9">
        <w:rPr>
          <w:rFonts w:ascii="Times New Roman" w:hAnsi="Times New Roman" w:cs="Times New Roman"/>
          <w:sz w:val="24"/>
          <w:szCs w:val="24"/>
          <w:lang w:val="en-US"/>
        </w:rPr>
        <w:t>Dourados</w:t>
      </w:r>
      <w:proofErr w:type="spellEnd"/>
      <w:r w:rsidRPr="000A57F9">
        <w:rPr>
          <w:rFonts w:ascii="Times New Roman" w:hAnsi="Times New Roman" w:cs="Times New Roman"/>
          <w:sz w:val="24"/>
          <w:szCs w:val="24"/>
          <w:lang w:val="en-US"/>
        </w:rPr>
        <w:t xml:space="preserve"> River basin, MS, Brazil. </w:t>
      </w:r>
      <w:r w:rsidRPr="000A57F9">
        <w:rPr>
          <w:rFonts w:ascii="Times New Roman" w:hAnsi="Times New Roman" w:cs="Times New Roman"/>
          <w:b/>
          <w:sz w:val="24"/>
          <w:szCs w:val="24"/>
        </w:rPr>
        <w:t>Revista Brasileira de Engenharia Agrícola e Ambiental</w:t>
      </w:r>
      <w:r w:rsidRPr="000A57F9">
        <w:rPr>
          <w:rFonts w:ascii="Times New Roman" w:hAnsi="Times New Roman" w:cs="Times New Roman"/>
          <w:sz w:val="24"/>
          <w:szCs w:val="24"/>
        </w:rPr>
        <w:t>, v. 21, n. 7, p. 499–504, jul. 2017.  </w:t>
      </w:r>
    </w:p>
    <w:p w14:paraId="27FAFAC5" w14:textId="77777777" w:rsidR="004D3F71" w:rsidRPr="000A57F9" w:rsidRDefault="004D3F71" w:rsidP="000A57F9">
      <w:pPr>
        <w:spacing w:after="120" w:line="276" w:lineRule="auto"/>
        <w:jc w:val="both"/>
        <w:rPr>
          <w:rFonts w:ascii="Times New Roman" w:hAnsi="Times New Roman" w:cs="Times New Roman"/>
          <w:color w:val="000000" w:themeColor="text1"/>
          <w:sz w:val="24"/>
          <w:szCs w:val="24"/>
        </w:rPr>
      </w:pPr>
      <w:r w:rsidRPr="000A57F9">
        <w:rPr>
          <w:rFonts w:ascii="Times New Roman" w:hAnsi="Times New Roman" w:cs="Times New Roman"/>
          <w:color w:val="000000" w:themeColor="text1"/>
          <w:sz w:val="24"/>
          <w:szCs w:val="24"/>
        </w:rPr>
        <w:lastRenderedPageBreak/>
        <w:t xml:space="preserve">SEMA/MT, Secretaria de Estado de Meio Ambiente. </w:t>
      </w:r>
      <w:r w:rsidRPr="000A57F9">
        <w:rPr>
          <w:rFonts w:ascii="Times New Roman" w:hAnsi="Times New Roman" w:cs="Times New Roman"/>
          <w:b/>
          <w:bCs/>
          <w:color w:val="000000" w:themeColor="text1"/>
          <w:sz w:val="24"/>
          <w:szCs w:val="24"/>
        </w:rPr>
        <w:t>Regionalização de Estudo Hidrológico do estado de Mato Grosso</w:t>
      </w:r>
      <w:r w:rsidRPr="000A57F9">
        <w:rPr>
          <w:rFonts w:ascii="Times New Roman" w:hAnsi="Times New Roman" w:cs="Times New Roman"/>
          <w:color w:val="000000" w:themeColor="text1"/>
          <w:sz w:val="24"/>
          <w:szCs w:val="24"/>
        </w:rPr>
        <w:t>. Produtos do contrato 021/2007. Cuiabá, Mato Grosso, vol. I, 90p., 2007.</w:t>
      </w:r>
    </w:p>
    <w:p w14:paraId="62731E12" w14:textId="77777777" w:rsidR="004D3F71" w:rsidRPr="000A57F9" w:rsidRDefault="004D3F71" w:rsidP="000A57F9">
      <w:pPr>
        <w:spacing w:after="120" w:line="276" w:lineRule="auto"/>
        <w:jc w:val="both"/>
        <w:rPr>
          <w:rFonts w:ascii="Times New Roman" w:hAnsi="Times New Roman" w:cs="Times New Roman"/>
          <w:sz w:val="24"/>
          <w:szCs w:val="24"/>
        </w:rPr>
      </w:pPr>
      <w:r w:rsidRPr="000A57F9">
        <w:rPr>
          <w:rFonts w:ascii="Times New Roman" w:hAnsi="Times New Roman" w:cs="Times New Roman"/>
          <w:sz w:val="24"/>
          <w:szCs w:val="24"/>
        </w:rPr>
        <w:t xml:space="preserve">SILVA, Antônio M. </w:t>
      </w:r>
      <w:proofErr w:type="spellStart"/>
      <w:r w:rsidRPr="000A57F9">
        <w:rPr>
          <w:rFonts w:ascii="Times New Roman" w:hAnsi="Times New Roman" w:cs="Times New Roman"/>
          <w:sz w:val="24"/>
          <w:szCs w:val="24"/>
        </w:rPr>
        <w:t>da</w:t>
      </w:r>
      <w:proofErr w:type="spellEnd"/>
      <w:r w:rsidRPr="000A57F9">
        <w:rPr>
          <w:rFonts w:ascii="Times New Roman" w:hAnsi="Times New Roman" w:cs="Times New Roman"/>
          <w:sz w:val="24"/>
          <w:szCs w:val="24"/>
        </w:rPr>
        <w:t xml:space="preserve"> </w:t>
      </w:r>
      <w:r w:rsidRPr="000A57F9">
        <w:rPr>
          <w:rFonts w:ascii="Times New Roman" w:hAnsi="Times New Roman" w:cs="Times New Roman"/>
          <w:i/>
          <w:sz w:val="24"/>
          <w:szCs w:val="24"/>
        </w:rPr>
        <w:t>et al.</w:t>
      </w:r>
      <w:r w:rsidRPr="000A57F9">
        <w:rPr>
          <w:rFonts w:ascii="Times New Roman" w:hAnsi="Times New Roman" w:cs="Times New Roman"/>
          <w:sz w:val="24"/>
          <w:szCs w:val="24"/>
        </w:rPr>
        <w:t xml:space="preserve"> Vazões mínimas e de referência para outorga na região do Alto Rio Grande, Minas Gerais. </w:t>
      </w:r>
      <w:r w:rsidRPr="000A57F9">
        <w:rPr>
          <w:rFonts w:ascii="Times New Roman" w:hAnsi="Times New Roman" w:cs="Times New Roman"/>
          <w:b/>
          <w:sz w:val="24"/>
          <w:szCs w:val="24"/>
        </w:rPr>
        <w:t>Revista Brasileira de Engenharia Agrícola e Ambiental</w:t>
      </w:r>
      <w:r w:rsidRPr="000A57F9">
        <w:rPr>
          <w:rFonts w:ascii="Times New Roman" w:hAnsi="Times New Roman" w:cs="Times New Roman"/>
          <w:sz w:val="24"/>
          <w:szCs w:val="24"/>
        </w:rPr>
        <w:t>, v. 10, n. 2, p. 374–380, jun. 2006.  </w:t>
      </w:r>
    </w:p>
    <w:p w14:paraId="755595D1" w14:textId="77777777" w:rsidR="004D3F71" w:rsidRPr="000A57F9" w:rsidRDefault="004D3F71" w:rsidP="000A57F9">
      <w:pPr>
        <w:spacing w:after="120" w:line="276" w:lineRule="auto"/>
        <w:jc w:val="both"/>
        <w:rPr>
          <w:rFonts w:ascii="Times New Roman" w:hAnsi="Times New Roman" w:cs="Times New Roman"/>
          <w:sz w:val="24"/>
          <w:szCs w:val="24"/>
          <w:lang w:val="en-US"/>
        </w:rPr>
      </w:pPr>
      <w:r w:rsidRPr="000A57F9">
        <w:rPr>
          <w:rFonts w:ascii="Times New Roman" w:hAnsi="Times New Roman" w:cs="Times New Roman"/>
          <w:sz w:val="24"/>
          <w:szCs w:val="24"/>
        </w:rPr>
        <w:t xml:space="preserve">SILVA, Bruno Marcel Barros da; SILVA, Demetrius David da; MOREIRA, Michel Castro. Influência da sazonalidade das vazões nos critérios de outorga de uso da água: estudo de caso da bacia do rio Paraopeba. </w:t>
      </w:r>
      <w:proofErr w:type="spellStart"/>
      <w:r w:rsidRPr="000A57F9">
        <w:rPr>
          <w:rFonts w:ascii="Times New Roman" w:hAnsi="Times New Roman" w:cs="Times New Roman"/>
          <w:b/>
          <w:sz w:val="24"/>
          <w:szCs w:val="24"/>
          <w:lang w:val="en-US"/>
        </w:rPr>
        <w:t>Ambiente</w:t>
      </w:r>
      <w:proofErr w:type="spellEnd"/>
      <w:r w:rsidRPr="000A57F9">
        <w:rPr>
          <w:rFonts w:ascii="Times New Roman" w:hAnsi="Times New Roman" w:cs="Times New Roman"/>
          <w:b/>
          <w:sz w:val="24"/>
          <w:szCs w:val="24"/>
          <w:lang w:val="en-US"/>
        </w:rPr>
        <w:t xml:space="preserve"> e Agua - An Interdisciplinary Journal of Applied Science</w:t>
      </w:r>
      <w:r w:rsidRPr="000A57F9">
        <w:rPr>
          <w:rFonts w:ascii="Times New Roman" w:hAnsi="Times New Roman" w:cs="Times New Roman"/>
          <w:sz w:val="24"/>
          <w:szCs w:val="24"/>
          <w:lang w:val="en-US"/>
        </w:rPr>
        <w:t xml:space="preserve">, v. 10, n. 3, 3 </w:t>
      </w:r>
      <w:proofErr w:type="spellStart"/>
      <w:r w:rsidRPr="000A57F9">
        <w:rPr>
          <w:rFonts w:ascii="Times New Roman" w:hAnsi="Times New Roman" w:cs="Times New Roman"/>
          <w:sz w:val="24"/>
          <w:szCs w:val="24"/>
          <w:lang w:val="en-US"/>
        </w:rPr>
        <w:t>jul.</w:t>
      </w:r>
      <w:proofErr w:type="spellEnd"/>
      <w:r w:rsidRPr="000A57F9">
        <w:rPr>
          <w:rFonts w:ascii="Times New Roman" w:hAnsi="Times New Roman" w:cs="Times New Roman"/>
          <w:sz w:val="24"/>
          <w:szCs w:val="24"/>
          <w:lang w:val="en-US"/>
        </w:rPr>
        <w:t xml:space="preserve"> 2015a.  </w:t>
      </w:r>
    </w:p>
    <w:p w14:paraId="6F6167BD" w14:textId="77777777" w:rsidR="004D3F71" w:rsidRPr="000A57F9" w:rsidRDefault="004D3F71" w:rsidP="000A57F9">
      <w:pPr>
        <w:spacing w:after="120" w:line="276" w:lineRule="auto"/>
        <w:jc w:val="both"/>
        <w:rPr>
          <w:rFonts w:ascii="Times New Roman" w:hAnsi="Times New Roman" w:cs="Times New Roman"/>
          <w:sz w:val="24"/>
          <w:szCs w:val="24"/>
          <w:lang w:val="en-US"/>
        </w:rPr>
      </w:pPr>
      <w:r w:rsidRPr="000A57F9">
        <w:rPr>
          <w:rFonts w:ascii="Times New Roman" w:hAnsi="Times New Roman" w:cs="Times New Roman"/>
          <w:sz w:val="24"/>
          <w:szCs w:val="24"/>
          <w:lang w:val="en-US"/>
        </w:rPr>
        <w:t xml:space="preserve">XU, </w:t>
      </w:r>
      <w:proofErr w:type="spellStart"/>
      <w:r w:rsidRPr="000A57F9">
        <w:rPr>
          <w:rFonts w:ascii="Times New Roman" w:hAnsi="Times New Roman" w:cs="Times New Roman"/>
          <w:sz w:val="24"/>
          <w:szCs w:val="24"/>
          <w:lang w:val="en-US"/>
        </w:rPr>
        <w:t>Xianghui</w:t>
      </w:r>
      <w:proofErr w:type="spellEnd"/>
      <w:r w:rsidRPr="000A57F9">
        <w:rPr>
          <w:rFonts w:ascii="Times New Roman" w:hAnsi="Times New Roman" w:cs="Times New Roman"/>
          <w:sz w:val="24"/>
          <w:szCs w:val="24"/>
          <w:lang w:val="en-US"/>
        </w:rPr>
        <w:t xml:space="preserve"> </w:t>
      </w:r>
      <w:r w:rsidRPr="000A57F9">
        <w:rPr>
          <w:rFonts w:ascii="Times New Roman" w:hAnsi="Times New Roman" w:cs="Times New Roman"/>
          <w:i/>
          <w:sz w:val="24"/>
          <w:szCs w:val="24"/>
          <w:lang w:val="en-US"/>
        </w:rPr>
        <w:t>et al.</w:t>
      </w:r>
      <w:r w:rsidRPr="000A57F9">
        <w:rPr>
          <w:rFonts w:ascii="Times New Roman" w:hAnsi="Times New Roman" w:cs="Times New Roman"/>
          <w:sz w:val="24"/>
          <w:szCs w:val="24"/>
          <w:lang w:val="en-US"/>
        </w:rPr>
        <w:t xml:space="preserve"> Sustainable management of agricultural water rights trading under uncertainty: An optimization-evaluation framework. </w:t>
      </w:r>
      <w:r w:rsidRPr="000A57F9">
        <w:rPr>
          <w:rFonts w:ascii="Times New Roman" w:hAnsi="Times New Roman" w:cs="Times New Roman"/>
          <w:b/>
          <w:sz w:val="24"/>
          <w:szCs w:val="24"/>
          <w:lang w:val="en-US"/>
        </w:rPr>
        <w:t>Agricultural Water Management</w:t>
      </w:r>
      <w:r w:rsidRPr="000A57F9">
        <w:rPr>
          <w:rFonts w:ascii="Times New Roman" w:hAnsi="Times New Roman" w:cs="Times New Roman"/>
          <w:sz w:val="24"/>
          <w:szCs w:val="24"/>
          <w:lang w:val="en-US"/>
        </w:rPr>
        <w:t>, v. 280, p. 108212, abr. 2023.</w:t>
      </w:r>
    </w:p>
    <w:p w14:paraId="7352FD89" w14:textId="77777777" w:rsidR="007C1535" w:rsidRPr="00655C64" w:rsidRDefault="007C1535" w:rsidP="007B2E69">
      <w:pPr>
        <w:ind w:left="720"/>
        <w:rPr>
          <w:rFonts w:ascii="Times New Roman" w:eastAsia="Times New Roman" w:hAnsi="Times New Roman" w:cs="Times New Roman"/>
          <w:b/>
          <w:kern w:val="0"/>
          <w:sz w:val="24"/>
          <w:szCs w:val="24"/>
          <w:lang w:eastAsia="pt-BR"/>
          <w14:ligatures w14:val="none"/>
        </w:rPr>
      </w:pPr>
    </w:p>
    <w:sectPr w:rsidR="007C1535" w:rsidRPr="00655C64" w:rsidSect="008C3115">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4F6F" w14:textId="77777777" w:rsidR="00A331D1" w:rsidRDefault="00A331D1">
      <w:pPr>
        <w:spacing w:after="0" w:line="240" w:lineRule="auto"/>
      </w:pPr>
      <w:r>
        <w:separator/>
      </w:r>
    </w:p>
  </w:endnote>
  <w:endnote w:type="continuationSeparator" w:id="0">
    <w:p w14:paraId="7141A407" w14:textId="77777777" w:rsidR="00A331D1" w:rsidRDefault="00A3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EB69" w14:textId="77777777" w:rsidR="00A331D1" w:rsidRDefault="00A331D1">
      <w:pPr>
        <w:spacing w:after="0" w:line="240" w:lineRule="auto"/>
      </w:pPr>
      <w:r>
        <w:separator/>
      </w:r>
    </w:p>
  </w:footnote>
  <w:footnote w:type="continuationSeparator" w:id="0">
    <w:p w14:paraId="366546AB" w14:textId="77777777" w:rsidR="00A331D1" w:rsidRDefault="00A3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11C4" w14:textId="77777777" w:rsidR="008C3115" w:rsidRDefault="008C3115">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Meta 4 – Estudo da disponibilidade hídrica superficial</w:t>
    </w:r>
  </w:p>
  <w:p w14:paraId="218B4C32" w14:textId="77777777" w:rsidR="008C3115" w:rsidRDefault="008C3115">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61312" behindDoc="0" locked="0" layoutInCell="1" hidden="0" allowOverlap="1" wp14:anchorId="52EE163B" wp14:editId="12D7BBDD">
              <wp:simplePos x="0" y="0"/>
              <wp:positionH relativeFrom="column">
                <wp:posOffset>12701</wp:posOffset>
              </wp:positionH>
              <wp:positionV relativeFrom="paragraph">
                <wp:posOffset>152400</wp:posOffset>
              </wp:positionV>
              <wp:extent cx="5524500" cy="12700"/>
              <wp:effectExtent l="0" t="0" r="0" b="0"/>
              <wp:wrapNone/>
              <wp:docPr id="1096892582" name="Conector de Seta Reta 1096892582"/>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3A53A8AD" id="_x0000_t32" coordsize="21600,21600" o:spt="32" o:oned="t" path="m,l21600,21600e" filled="f">
              <v:path arrowok="t" fillok="f" o:connecttype="none"/>
              <o:lock v:ext="edit" shapetype="t"/>
            </v:shapetype>
            <v:shape id="Conector de Seta Reta 1096892582" o:spid="_x0000_s1026" type="#_x0000_t32" style="position:absolute;margin-left:1pt;margin-top:12pt;width:43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" strokecolor="black [3200]">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4670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4A7A1A"/>
    <w:multiLevelType w:val="hybridMultilevel"/>
    <w:tmpl w:val="2EBC2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0900CAF"/>
    <w:multiLevelType w:val="multilevel"/>
    <w:tmpl w:val="73C82B5A"/>
    <w:lvl w:ilvl="0">
      <w:start w:val="1"/>
      <w:numFmt w:val="decimal"/>
      <w:lvlText w:val="%1."/>
      <w:lvlJc w:val="left"/>
      <w:pPr>
        <w:ind w:left="720" w:hanging="360"/>
      </w:pPr>
      <w:rPr>
        <w:b/>
        <w:u w:val="none"/>
      </w:rPr>
    </w:lvl>
    <w:lvl w:ilvl="1">
      <w:start w:val="1"/>
      <w:numFmt w:val="decimal"/>
      <w:lvlText w:val="%1.%2."/>
      <w:lvlJc w:val="left"/>
      <w:pPr>
        <w:ind w:left="1152" w:hanging="432"/>
      </w:pPr>
      <w:rPr>
        <w:u w:val="none"/>
      </w:rPr>
    </w:lvl>
    <w:lvl w:ilvl="2">
      <w:start w:val="1"/>
      <w:numFmt w:val="decimal"/>
      <w:lvlText w:val="%1.%2.%3."/>
      <w:lvlJc w:val="left"/>
      <w:pPr>
        <w:ind w:left="1584" w:hanging="504"/>
      </w:pPr>
      <w:rPr>
        <w:u w:val="none"/>
      </w:rPr>
    </w:lvl>
    <w:lvl w:ilvl="3">
      <w:start w:val="1"/>
      <w:numFmt w:val="decimal"/>
      <w:lvlText w:val="%1.%2.%3.%4."/>
      <w:lvlJc w:val="left"/>
      <w:pPr>
        <w:ind w:left="2088" w:hanging="648"/>
      </w:pPr>
      <w:rPr>
        <w:u w:val="none"/>
      </w:rPr>
    </w:lvl>
    <w:lvl w:ilvl="4">
      <w:start w:val="1"/>
      <w:numFmt w:val="decimal"/>
      <w:lvlText w:val="%1.%2.%3.%4.%5."/>
      <w:lvlJc w:val="left"/>
      <w:pPr>
        <w:ind w:left="2592" w:hanging="792"/>
      </w:pPr>
      <w:rPr>
        <w:u w:val="none"/>
      </w:rPr>
    </w:lvl>
    <w:lvl w:ilvl="5">
      <w:start w:val="1"/>
      <w:numFmt w:val="decimal"/>
      <w:lvlText w:val="%1.%2.%3.%4.%5.%6."/>
      <w:lvlJc w:val="left"/>
      <w:pPr>
        <w:ind w:left="3096" w:hanging="935"/>
      </w:pPr>
      <w:rPr>
        <w:u w:val="none"/>
      </w:rPr>
    </w:lvl>
    <w:lvl w:ilvl="6">
      <w:start w:val="1"/>
      <w:numFmt w:val="decimal"/>
      <w:lvlText w:val="%1.%2.%3.%4.%5.%6.%7."/>
      <w:lvlJc w:val="left"/>
      <w:pPr>
        <w:ind w:left="3600" w:hanging="1080"/>
      </w:pPr>
      <w:rPr>
        <w:u w:val="none"/>
      </w:rPr>
    </w:lvl>
    <w:lvl w:ilvl="7">
      <w:start w:val="1"/>
      <w:numFmt w:val="decimal"/>
      <w:lvlText w:val="%1.%2.%3.%4.%5.%6.%7.%8."/>
      <w:lvlJc w:val="left"/>
      <w:pPr>
        <w:ind w:left="4104" w:hanging="1224"/>
      </w:pPr>
      <w:rPr>
        <w:u w:val="none"/>
      </w:rPr>
    </w:lvl>
    <w:lvl w:ilvl="8">
      <w:start w:val="1"/>
      <w:numFmt w:val="decimal"/>
      <w:lvlText w:val="%1.%2.%3.%4.%5.%6.%7.%8.%9."/>
      <w:lvlJc w:val="left"/>
      <w:pPr>
        <w:ind w:left="4680" w:hanging="1440"/>
      </w:pPr>
      <w:rPr>
        <w:u w:val="none"/>
      </w:rPr>
    </w:lvl>
  </w:abstractNum>
  <w:num w:numId="1" w16cid:durableId="2079089488">
    <w:abstractNumId w:val="0"/>
  </w:num>
  <w:num w:numId="2" w16cid:durableId="736170638">
    <w:abstractNumId w:val="2"/>
  </w:num>
  <w:num w:numId="3" w16cid:durableId="1585383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D"/>
    <w:rsid w:val="00005FB4"/>
    <w:rsid w:val="00011176"/>
    <w:rsid w:val="00013EAF"/>
    <w:rsid w:val="000167BA"/>
    <w:rsid w:val="00022B03"/>
    <w:rsid w:val="000268FC"/>
    <w:rsid w:val="00030D47"/>
    <w:rsid w:val="0003591A"/>
    <w:rsid w:val="00035968"/>
    <w:rsid w:val="00044B21"/>
    <w:rsid w:val="0005151A"/>
    <w:rsid w:val="00053448"/>
    <w:rsid w:val="00062A1C"/>
    <w:rsid w:val="00064B1F"/>
    <w:rsid w:val="000654B8"/>
    <w:rsid w:val="0007251D"/>
    <w:rsid w:val="000762D5"/>
    <w:rsid w:val="00081254"/>
    <w:rsid w:val="000900A9"/>
    <w:rsid w:val="000938CB"/>
    <w:rsid w:val="000A57F9"/>
    <w:rsid w:val="000A5C30"/>
    <w:rsid w:val="000A721F"/>
    <w:rsid w:val="000A7D47"/>
    <w:rsid w:val="000B18A4"/>
    <w:rsid w:val="000C100E"/>
    <w:rsid w:val="000C106B"/>
    <w:rsid w:val="000C53CE"/>
    <w:rsid w:val="000C6D95"/>
    <w:rsid w:val="000D341B"/>
    <w:rsid w:val="000E3B4F"/>
    <w:rsid w:val="000E778A"/>
    <w:rsid w:val="000F0F98"/>
    <w:rsid w:val="000F337E"/>
    <w:rsid w:val="001037B2"/>
    <w:rsid w:val="001049EE"/>
    <w:rsid w:val="001126FF"/>
    <w:rsid w:val="001165E6"/>
    <w:rsid w:val="00122464"/>
    <w:rsid w:val="00126BB0"/>
    <w:rsid w:val="001342F0"/>
    <w:rsid w:val="001350DA"/>
    <w:rsid w:val="001350FE"/>
    <w:rsid w:val="00135132"/>
    <w:rsid w:val="0013727D"/>
    <w:rsid w:val="00145083"/>
    <w:rsid w:val="0015798F"/>
    <w:rsid w:val="00163E53"/>
    <w:rsid w:val="00164B65"/>
    <w:rsid w:val="00186868"/>
    <w:rsid w:val="00193C4D"/>
    <w:rsid w:val="001C4B69"/>
    <w:rsid w:val="001C7238"/>
    <w:rsid w:val="001D0B41"/>
    <w:rsid w:val="001D6EC0"/>
    <w:rsid w:val="001F2DEF"/>
    <w:rsid w:val="001F5A00"/>
    <w:rsid w:val="002041B7"/>
    <w:rsid w:val="002050F2"/>
    <w:rsid w:val="002058A4"/>
    <w:rsid w:val="00205C9E"/>
    <w:rsid w:val="002251A1"/>
    <w:rsid w:val="00226913"/>
    <w:rsid w:val="0023173F"/>
    <w:rsid w:val="0024235C"/>
    <w:rsid w:val="00243288"/>
    <w:rsid w:val="0026677C"/>
    <w:rsid w:val="00266C0E"/>
    <w:rsid w:val="00273AAB"/>
    <w:rsid w:val="0027750D"/>
    <w:rsid w:val="00284D2C"/>
    <w:rsid w:val="0028537F"/>
    <w:rsid w:val="00287B4C"/>
    <w:rsid w:val="00294132"/>
    <w:rsid w:val="002967B9"/>
    <w:rsid w:val="002A550A"/>
    <w:rsid w:val="002A7350"/>
    <w:rsid w:val="002B1545"/>
    <w:rsid w:val="002B168B"/>
    <w:rsid w:val="002C4595"/>
    <w:rsid w:val="002E0551"/>
    <w:rsid w:val="002E3515"/>
    <w:rsid w:val="002E621D"/>
    <w:rsid w:val="002F343E"/>
    <w:rsid w:val="002F3A59"/>
    <w:rsid w:val="002F59E6"/>
    <w:rsid w:val="002F6D63"/>
    <w:rsid w:val="002F7102"/>
    <w:rsid w:val="002F71CD"/>
    <w:rsid w:val="00303FB6"/>
    <w:rsid w:val="00310C99"/>
    <w:rsid w:val="003220FD"/>
    <w:rsid w:val="0032246E"/>
    <w:rsid w:val="0032302C"/>
    <w:rsid w:val="00323971"/>
    <w:rsid w:val="00325B48"/>
    <w:rsid w:val="00325D6E"/>
    <w:rsid w:val="00334AD3"/>
    <w:rsid w:val="00334E60"/>
    <w:rsid w:val="00336671"/>
    <w:rsid w:val="00345974"/>
    <w:rsid w:val="0035382E"/>
    <w:rsid w:val="00356C36"/>
    <w:rsid w:val="00362075"/>
    <w:rsid w:val="00367B50"/>
    <w:rsid w:val="00371381"/>
    <w:rsid w:val="00381478"/>
    <w:rsid w:val="0038273C"/>
    <w:rsid w:val="0038635A"/>
    <w:rsid w:val="00394E78"/>
    <w:rsid w:val="003B068E"/>
    <w:rsid w:val="003B1C6B"/>
    <w:rsid w:val="003C03D8"/>
    <w:rsid w:val="003C408E"/>
    <w:rsid w:val="003C52FE"/>
    <w:rsid w:val="003C7861"/>
    <w:rsid w:val="003D7030"/>
    <w:rsid w:val="003E0E9B"/>
    <w:rsid w:val="003E19D2"/>
    <w:rsid w:val="003E3A1F"/>
    <w:rsid w:val="003E40A8"/>
    <w:rsid w:val="003E53C6"/>
    <w:rsid w:val="003F013F"/>
    <w:rsid w:val="003F03BA"/>
    <w:rsid w:val="003F528A"/>
    <w:rsid w:val="003F6874"/>
    <w:rsid w:val="004004CD"/>
    <w:rsid w:val="00407FDF"/>
    <w:rsid w:val="004109D0"/>
    <w:rsid w:val="00411826"/>
    <w:rsid w:val="00413645"/>
    <w:rsid w:val="0042175B"/>
    <w:rsid w:val="00423302"/>
    <w:rsid w:val="004243AC"/>
    <w:rsid w:val="00425224"/>
    <w:rsid w:val="00426C85"/>
    <w:rsid w:val="00426E4E"/>
    <w:rsid w:val="00426F5F"/>
    <w:rsid w:val="00434493"/>
    <w:rsid w:val="004362A9"/>
    <w:rsid w:val="004366FB"/>
    <w:rsid w:val="00440C25"/>
    <w:rsid w:val="0044151B"/>
    <w:rsid w:val="0044448A"/>
    <w:rsid w:val="004547EF"/>
    <w:rsid w:val="00462075"/>
    <w:rsid w:val="004873D9"/>
    <w:rsid w:val="0049473A"/>
    <w:rsid w:val="004A7595"/>
    <w:rsid w:val="004B0D56"/>
    <w:rsid w:val="004C6B24"/>
    <w:rsid w:val="004C7C0A"/>
    <w:rsid w:val="004D1651"/>
    <w:rsid w:val="004D3A42"/>
    <w:rsid w:val="004D3F71"/>
    <w:rsid w:val="004E1712"/>
    <w:rsid w:val="004E275D"/>
    <w:rsid w:val="004E6FBB"/>
    <w:rsid w:val="004E7A41"/>
    <w:rsid w:val="004F09FE"/>
    <w:rsid w:val="004F33D7"/>
    <w:rsid w:val="004F53CC"/>
    <w:rsid w:val="004F78BB"/>
    <w:rsid w:val="00503575"/>
    <w:rsid w:val="00503749"/>
    <w:rsid w:val="00503F23"/>
    <w:rsid w:val="005127FF"/>
    <w:rsid w:val="00520B60"/>
    <w:rsid w:val="00532495"/>
    <w:rsid w:val="0053291F"/>
    <w:rsid w:val="00542874"/>
    <w:rsid w:val="00542C78"/>
    <w:rsid w:val="00545B88"/>
    <w:rsid w:val="00553D4E"/>
    <w:rsid w:val="0055704D"/>
    <w:rsid w:val="005655C0"/>
    <w:rsid w:val="00567A89"/>
    <w:rsid w:val="005828BD"/>
    <w:rsid w:val="005863DA"/>
    <w:rsid w:val="00591D44"/>
    <w:rsid w:val="005943EA"/>
    <w:rsid w:val="005B71B9"/>
    <w:rsid w:val="005C2F93"/>
    <w:rsid w:val="005C71D2"/>
    <w:rsid w:val="005D235D"/>
    <w:rsid w:val="005D6082"/>
    <w:rsid w:val="005E77B6"/>
    <w:rsid w:val="005F7503"/>
    <w:rsid w:val="006158A0"/>
    <w:rsid w:val="00621057"/>
    <w:rsid w:val="00627621"/>
    <w:rsid w:val="00644519"/>
    <w:rsid w:val="0065246D"/>
    <w:rsid w:val="006544B2"/>
    <w:rsid w:val="00655C64"/>
    <w:rsid w:val="00666CA5"/>
    <w:rsid w:val="0067203E"/>
    <w:rsid w:val="0067264D"/>
    <w:rsid w:val="006729D4"/>
    <w:rsid w:val="00676199"/>
    <w:rsid w:val="00680D7F"/>
    <w:rsid w:val="00684340"/>
    <w:rsid w:val="006853F3"/>
    <w:rsid w:val="0069535A"/>
    <w:rsid w:val="006962B7"/>
    <w:rsid w:val="006A4E15"/>
    <w:rsid w:val="006B0718"/>
    <w:rsid w:val="006B13B6"/>
    <w:rsid w:val="006C48F1"/>
    <w:rsid w:val="006D1DBC"/>
    <w:rsid w:val="006E0853"/>
    <w:rsid w:val="006E367E"/>
    <w:rsid w:val="006E50BC"/>
    <w:rsid w:val="006E7988"/>
    <w:rsid w:val="006F50B3"/>
    <w:rsid w:val="00700B5B"/>
    <w:rsid w:val="00713B10"/>
    <w:rsid w:val="00722423"/>
    <w:rsid w:val="00725BD8"/>
    <w:rsid w:val="00734F1E"/>
    <w:rsid w:val="00736880"/>
    <w:rsid w:val="00736AC0"/>
    <w:rsid w:val="00737FE5"/>
    <w:rsid w:val="00740064"/>
    <w:rsid w:val="007425A4"/>
    <w:rsid w:val="00750C98"/>
    <w:rsid w:val="007555A9"/>
    <w:rsid w:val="0075712A"/>
    <w:rsid w:val="00757435"/>
    <w:rsid w:val="007607D7"/>
    <w:rsid w:val="00763623"/>
    <w:rsid w:val="00783496"/>
    <w:rsid w:val="00783969"/>
    <w:rsid w:val="007A11C3"/>
    <w:rsid w:val="007A405C"/>
    <w:rsid w:val="007A4810"/>
    <w:rsid w:val="007B0720"/>
    <w:rsid w:val="007B2E69"/>
    <w:rsid w:val="007C0832"/>
    <w:rsid w:val="007C151C"/>
    <w:rsid w:val="007C1535"/>
    <w:rsid w:val="007C1C05"/>
    <w:rsid w:val="007D4F4D"/>
    <w:rsid w:val="007E4B3E"/>
    <w:rsid w:val="007E7C59"/>
    <w:rsid w:val="008067A0"/>
    <w:rsid w:val="008069A4"/>
    <w:rsid w:val="00807536"/>
    <w:rsid w:val="008078C1"/>
    <w:rsid w:val="0081093B"/>
    <w:rsid w:val="00811066"/>
    <w:rsid w:val="00822D9C"/>
    <w:rsid w:val="008232B0"/>
    <w:rsid w:val="00825596"/>
    <w:rsid w:val="0083565D"/>
    <w:rsid w:val="00842069"/>
    <w:rsid w:val="008479CC"/>
    <w:rsid w:val="00847A28"/>
    <w:rsid w:val="00851AB8"/>
    <w:rsid w:val="0086722D"/>
    <w:rsid w:val="00872A00"/>
    <w:rsid w:val="00883C24"/>
    <w:rsid w:val="00885A77"/>
    <w:rsid w:val="008874DA"/>
    <w:rsid w:val="0089457A"/>
    <w:rsid w:val="008A4628"/>
    <w:rsid w:val="008C1751"/>
    <w:rsid w:val="008C3115"/>
    <w:rsid w:val="008C7479"/>
    <w:rsid w:val="008E0CA9"/>
    <w:rsid w:val="008F036E"/>
    <w:rsid w:val="008F7F5E"/>
    <w:rsid w:val="0091260C"/>
    <w:rsid w:val="00916F7B"/>
    <w:rsid w:val="009209D3"/>
    <w:rsid w:val="009211B6"/>
    <w:rsid w:val="00921FAD"/>
    <w:rsid w:val="0093149A"/>
    <w:rsid w:val="0093325E"/>
    <w:rsid w:val="00935053"/>
    <w:rsid w:val="00941F42"/>
    <w:rsid w:val="0094383F"/>
    <w:rsid w:val="00944F3B"/>
    <w:rsid w:val="00946BC7"/>
    <w:rsid w:val="009520DA"/>
    <w:rsid w:val="009617A4"/>
    <w:rsid w:val="00961A66"/>
    <w:rsid w:val="009661D1"/>
    <w:rsid w:val="00966C4A"/>
    <w:rsid w:val="0096731D"/>
    <w:rsid w:val="00970350"/>
    <w:rsid w:val="00971867"/>
    <w:rsid w:val="009741DD"/>
    <w:rsid w:val="009807E7"/>
    <w:rsid w:val="00985667"/>
    <w:rsid w:val="00991437"/>
    <w:rsid w:val="009915C0"/>
    <w:rsid w:val="00997F18"/>
    <w:rsid w:val="009A1200"/>
    <w:rsid w:val="009A2067"/>
    <w:rsid w:val="009A4ED3"/>
    <w:rsid w:val="009B4074"/>
    <w:rsid w:val="009C07DE"/>
    <w:rsid w:val="009C24A5"/>
    <w:rsid w:val="009C3EEC"/>
    <w:rsid w:val="009D5D9D"/>
    <w:rsid w:val="009D7198"/>
    <w:rsid w:val="009E7CB0"/>
    <w:rsid w:val="009F57C4"/>
    <w:rsid w:val="00A01AFD"/>
    <w:rsid w:val="00A04814"/>
    <w:rsid w:val="00A07BD3"/>
    <w:rsid w:val="00A1525B"/>
    <w:rsid w:val="00A20BAC"/>
    <w:rsid w:val="00A22D27"/>
    <w:rsid w:val="00A249FB"/>
    <w:rsid w:val="00A267ED"/>
    <w:rsid w:val="00A331D1"/>
    <w:rsid w:val="00A43C08"/>
    <w:rsid w:val="00A55287"/>
    <w:rsid w:val="00A63BC3"/>
    <w:rsid w:val="00A66880"/>
    <w:rsid w:val="00A74FA3"/>
    <w:rsid w:val="00A75360"/>
    <w:rsid w:val="00A77F00"/>
    <w:rsid w:val="00A9204D"/>
    <w:rsid w:val="00AA1331"/>
    <w:rsid w:val="00AA3B3F"/>
    <w:rsid w:val="00AA4E18"/>
    <w:rsid w:val="00AB2A17"/>
    <w:rsid w:val="00AB71A1"/>
    <w:rsid w:val="00AC2AD6"/>
    <w:rsid w:val="00AC5353"/>
    <w:rsid w:val="00AC7588"/>
    <w:rsid w:val="00AD5F43"/>
    <w:rsid w:val="00AD6423"/>
    <w:rsid w:val="00AE1AC8"/>
    <w:rsid w:val="00AE5492"/>
    <w:rsid w:val="00AE5E82"/>
    <w:rsid w:val="00AE6134"/>
    <w:rsid w:val="00AF4B3B"/>
    <w:rsid w:val="00B045DB"/>
    <w:rsid w:val="00B14753"/>
    <w:rsid w:val="00B24973"/>
    <w:rsid w:val="00B34CCD"/>
    <w:rsid w:val="00B5481E"/>
    <w:rsid w:val="00B63C60"/>
    <w:rsid w:val="00B644F8"/>
    <w:rsid w:val="00B71894"/>
    <w:rsid w:val="00B722A3"/>
    <w:rsid w:val="00B77116"/>
    <w:rsid w:val="00B815FE"/>
    <w:rsid w:val="00B81939"/>
    <w:rsid w:val="00B9193E"/>
    <w:rsid w:val="00B94A04"/>
    <w:rsid w:val="00B9700B"/>
    <w:rsid w:val="00BA61C4"/>
    <w:rsid w:val="00BB4835"/>
    <w:rsid w:val="00BB589D"/>
    <w:rsid w:val="00BB7610"/>
    <w:rsid w:val="00BC5B92"/>
    <w:rsid w:val="00BC6302"/>
    <w:rsid w:val="00BD0260"/>
    <w:rsid w:val="00BD6466"/>
    <w:rsid w:val="00BD6918"/>
    <w:rsid w:val="00BE0396"/>
    <w:rsid w:val="00BE5E1F"/>
    <w:rsid w:val="00BF2CB1"/>
    <w:rsid w:val="00BF3850"/>
    <w:rsid w:val="00C05096"/>
    <w:rsid w:val="00C05CF2"/>
    <w:rsid w:val="00C14DC2"/>
    <w:rsid w:val="00C269EE"/>
    <w:rsid w:val="00C312EC"/>
    <w:rsid w:val="00C34C41"/>
    <w:rsid w:val="00C34DC2"/>
    <w:rsid w:val="00C421A8"/>
    <w:rsid w:val="00C4654D"/>
    <w:rsid w:val="00C52BB4"/>
    <w:rsid w:val="00C534E4"/>
    <w:rsid w:val="00C53767"/>
    <w:rsid w:val="00C53FBB"/>
    <w:rsid w:val="00C54162"/>
    <w:rsid w:val="00C54ABB"/>
    <w:rsid w:val="00C56E2A"/>
    <w:rsid w:val="00C57775"/>
    <w:rsid w:val="00C66251"/>
    <w:rsid w:val="00C72EB1"/>
    <w:rsid w:val="00C7373F"/>
    <w:rsid w:val="00C75968"/>
    <w:rsid w:val="00C821E1"/>
    <w:rsid w:val="00C8499D"/>
    <w:rsid w:val="00C95E8F"/>
    <w:rsid w:val="00CA331A"/>
    <w:rsid w:val="00CA351E"/>
    <w:rsid w:val="00CA35B2"/>
    <w:rsid w:val="00CB106A"/>
    <w:rsid w:val="00CB1204"/>
    <w:rsid w:val="00CB37A0"/>
    <w:rsid w:val="00CD0BE9"/>
    <w:rsid w:val="00CD308C"/>
    <w:rsid w:val="00CD385F"/>
    <w:rsid w:val="00CD3C0C"/>
    <w:rsid w:val="00CE16E3"/>
    <w:rsid w:val="00CE23F4"/>
    <w:rsid w:val="00CF5581"/>
    <w:rsid w:val="00CF6FCB"/>
    <w:rsid w:val="00D01561"/>
    <w:rsid w:val="00D05EC1"/>
    <w:rsid w:val="00D15E61"/>
    <w:rsid w:val="00D22E35"/>
    <w:rsid w:val="00D25EBF"/>
    <w:rsid w:val="00D30CD8"/>
    <w:rsid w:val="00D3166C"/>
    <w:rsid w:val="00D37D83"/>
    <w:rsid w:val="00D42ED1"/>
    <w:rsid w:val="00D45A83"/>
    <w:rsid w:val="00D46847"/>
    <w:rsid w:val="00D54CEB"/>
    <w:rsid w:val="00D54ED5"/>
    <w:rsid w:val="00D5518D"/>
    <w:rsid w:val="00D55641"/>
    <w:rsid w:val="00D60986"/>
    <w:rsid w:val="00D66090"/>
    <w:rsid w:val="00D736D6"/>
    <w:rsid w:val="00D77325"/>
    <w:rsid w:val="00D8197C"/>
    <w:rsid w:val="00D90FFB"/>
    <w:rsid w:val="00D95E6F"/>
    <w:rsid w:val="00D96A46"/>
    <w:rsid w:val="00DA00D8"/>
    <w:rsid w:val="00DA2FA9"/>
    <w:rsid w:val="00DA3D92"/>
    <w:rsid w:val="00DB0F81"/>
    <w:rsid w:val="00DB221B"/>
    <w:rsid w:val="00DF4F55"/>
    <w:rsid w:val="00DF753F"/>
    <w:rsid w:val="00E014DF"/>
    <w:rsid w:val="00E25E9F"/>
    <w:rsid w:val="00E34770"/>
    <w:rsid w:val="00E40603"/>
    <w:rsid w:val="00E45C24"/>
    <w:rsid w:val="00E60AC4"/>
    <w:rsid w:val="00E63F4A"/>
    <w:rsid w:val="00E71173"/>
    <w:rsid w:val="00E72B5E"/>
    <w:rsid w:val="00E73209"/>
    <w:rsid w:val="00E81A68"/>
    <w:rsid w:val="00E83B6C"/>
    <w:rsid w:val="00E86168"/>
    <w:rsid w:val="00E86FCA"/>
    <w:rsid w:val="00E87005"/>
    <w:rsid w:val="00E907A4"/>
    <w:rsid w:val="00E913C7"/>
    <w:rsid w:val="00E93D77"/>
    <w:rsid w:val="00EA1DBE"/>
    <w:rsid w:val="00EC69F3"/>
    <w:rsid w:val="00EC7077"/>
    <w:rsid w:val="00ED3C70"/>
    <w:rsid w:val="00ED69B7"/>
    <w:rsid w:val="00EE6C6C"/>
    <w:rsid w:val="00EF073D"/>
    <w:rsid w:val="00EF16EC"/>
    <w:rsid w:val="00F05707"/>
    <w:rsid w:val="00F11111"/>
    <w:rsid w:val="00F1772A"/>
    <w:rsid w:val="00F17A34"/>
    <w:rsid w:val="00F21024"/>
    <w:rsid w:val="00F309EE"/>
    <w:rsid w:val="00F31A9A"/>
    <w:rsid w:val="00F353EA"/>
    <w:rsid w:val="00F36AC8"/>
    <w:rsid w:val="00F36D6C"/>
    <w:rsid w:val="00F44584"/>
    <w:rsid w:val="00F45647"/>
    <w:rsid w:val="00F46DB4"/>
    <w:rsid w:val="00F646F5"/>
    <w:rsid w:val="00F64F2D"/>
    <w:rsid w:val="00F82471"/>
    <w:rsid w:val="00F83693"/>
    <w:rsid w:val="00F838C1"/>
    <w:rsid w:val="00F84822"/>
    <w:rsid w:val="00F91A16"/>
    <w:rsid w:val="00F93C1D"/>
    <w:rsid w:val="00F9458B"/>
    <w:rsid w:val="00F94D9E"/>
    <w:rsid w:val="00F96E30"/>
    <w:rsid w:val="00FA0A9C"/>
    <w:rsid w:val="00FA67E7"/>
    <w:rsid w:val="00FC6717"/>
    <w:rsid w:val="00FD21A6"/>
    <w:rsid w:val="00FE2F60"/>
    <w:rsid w:val="00FF1527"/>
    <w:rsid w:val="00FF27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E3748"/>
  <w15:chartTrackingRefBased/>
  <w15:docId w15:val="{BF0D83DD-F4A8-4F77-BECA-962869B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46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46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465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465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465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465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65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65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65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654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465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4654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4654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465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465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65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65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654D"/>
    <w:rPr>
      <w:rFonts w:eastAsiaTheme="majorEastAsia" w:cstheme="majorBidi"/>
      <w:color w:val="272727" w:themeColor="text1" w:themeTint="D8"/>
    </w:rPr>
  </w:style>
  <w:style w:type="paragraph" w:styleId="Ttulo">
    <w:name w:val="Title"/>
    <w:basedOn w:val="Normal"/>
    <w:next w:val="Normal"/>
    <w:link w:val="TtuloChar"/>
    <w:uiPriority w:val="10"/>
    <w:qFormat/>
    <w:rsid w:val="00C46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65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65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65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654D"/>
    <w:pPr>
      <w:spacing w:before="160"/>
      <w:jc w:val="center"/>
    </w:pPr>
    <w:rPr>
      <w:i/>
      <w:iCs/>
      <w:color w:val="404040" w:themeColor="text1" w:themeTint="BF"/>
    </w:rPr>
  </w:style>
  <w:style w:type="character" w:customStyle="1" w:styleId="CitaoChar">
    <w:name w:val="Citação Char"/>
    <w:basedOn w:val="Fontepargpadro"/>
    <w:link w:val="Citao"/>
    <w:uiPriority w:val="29"/>
    <w:rsid w:val="00C4654D"/>
    <w:rPr>
      <w:i/>
      <w:iCs/>
      <w:color w:val="404040" w:themeColor="text1" w:themeTint="BF"/>
    </w:rPr>
  </w:style>
  <w:style w:type="paragraph" w:styleId="PargrafodaLista">
    <w:name w:val="List Paragraph"/>
    <w:basedOn w:val="Normal"/>
    <w:uiPriority w:val="34"/>
    <w:qFormat/>
    <w:rsid w:val="00C4654D"/>
    <w:pPr>
      <w:ind w:left="720"/>
      <w:contextualSpacing/>
    </w:pPr>
  </w:style>
  <w:style w:type="character" w:styleId="nfaseIntensa">
    <w:name w:val="Intense Emphasis"/>
    <w:basedOn w:val="Fontepargpadro"/>
    <w:uiPriority w:val="21"/>
    <w:qFormat/>
    <w:rsid w:val="00C4654D"/>
    <w:rPr>
      <w:i/>
      <w:iCs/>
      <w:color w:val="0F4761" w:themeColor="accent1" w:themeShade="BF"/>
    </w:rPr>
  </w:style>
  <w:style w:type="paragraph" w:styleId="CitaoIntensa">
    <w:name w:val="Intense Quote"/>
    <w:basedOn w:val="Normal"/>
    <w:next w:val="Normal"/>
    <w:link w:val="CitaoIntensaChar"/>
    <w:uiPriority w:val="30"/>
    <w:qFormat/>
    <w:rsid w:val="00C46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4654D"/>
    <w:rPr>
      <w:i/>
      <w:iCs/>
      <w:color w:val="0F4761" w:themeColor="accent1" w:themeShade="BF"/>
    </w:rPr>
  </w:style>
  <w:style w:type="character" w:styleId="RefernciaIntensa">
    <w:name w:val="Intense Reference"/>
    <w:basedOn w:val="Fontepargpadro"/>
    <w:uiPriority w:val="32"/>
    <w:qFormat/>
    <w:rsid w:val="00C4654D"/>
    <w:rPr>
      <w:b/>
      <w:bCs/>
      <w:smallCaps/>
      <w:color w:val="0F4761" w:themeColor="accent1" w:themeShade="BF"/>
      <w:spacing w:val="5"/>
    </w:rPr>
  </w:style>
  <w:style w:type="paragraph" w:styleId="NormalWeb">
    <w:name w:val="Normal (Web)"/>
    <w:basedOn w:val="Normal"/>
    <w:uiPriority w:val="99"/>
    <w:unhideWhenUsed/>
    <w:rsid w:val="00B045D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comgrade">
    <w:name w:val="Table Grid"/>
    <w:basedOn w:val="Tabelanormal"/>
    <w:uiPriority w:val="39"/>
    <w:rsid w:val="00E907A4"/>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3325E"/>
    <w:rPr>
      <w:sz w:val="16"/>
      <w:szCs w:val="16"/>
    </w:rPr>
  </w:style>
  <w:style w:type="paragraph" w:styleId="Textodecomentrio">
    <w:name w:val="annotation text"/>
    <w:basedOn w:val="Normal"/>
    <w:link w:val="TextodecomentrioChar"/>
    <w:uiPriority w:val="99"/>
    <w:unhideWhenUsed/>
    <w:rsid w:val="0093325E"/>
    <w:pPr>
      <w:spacing w:line="240" w:lineRule="auto"/>
    </w:pPr>
    <w:rPr>
      <w:sz w:val="20"/>
      <w:szCs w:val="20"/>
    </w:rPr>
  </w:style>
  <w:style w:type="character" w:customStyle="1" w:styleId="TextodecomentrioChar">
    <w:name w:val="Texto de comentário Char"/>
    <w:basedOn w:val="Fontepargpadro"/>
    <w:link w:val="Textodecomentrio"/>
    <w:uiPriority w:val="99"/>
    <w:rsid w:val="0093325E"/>
    <w:rPr>
      <w:sz w:val="20"/>
      <w:szCs w:val="20"/>
    </w:rPr>
  </w:style>
  <w:style w:type="paragraph" w:styleId="Assuntodocomentrio">
    <w:name w:val="annotation subject"/>
    <w:basedOn w:val="Textodecomentrio"/>
    <w:next w:val="Textodecomentrio"/>
    <w:link w:val="AssuntodocomentrioChar"/>
    <w:uiPriority w:val="99"/>
    <w:semiHidden/>
    <w:unhideWhenUsed/>
    <w:rsid w:val="0093325E"/>
    <w:rPr>
      <w:b/>
      <w:bCs/>
    </w:rPr>
  </w:style>
  <w:style w:type="character" w:customStyle="1" w:styleId="AssuntodocomentrioChar">
    <w:name w:val="Assunto do comentário Char"/>
    <w:basedOn w:val="TextodecomentrioChar"/>
    <w:link w:val="Assuntodocomentrio"/>
    <w:uiPriority w:val="99"/>
    <w:semiHidden/>
    <w:rsid w:val="0093325E"/>
    <w:rPr>
      <w:b/>
      <w:bCs/>
      <w:sz w:val="20"/>
      <w:szCs w:val="20"/>
    </w:rPr>
  </w:style>
  <w:style w:type="character" w:styleId="Hyperlink">
    <w:name w:val="Hyperlink"/>
    <w:basedOn w:val="Fontepargpadro"/>
    <w:uiPriority w:val="99"/>
    <w:unhideWhenUsed/>
    <w:rsid w:val="000654B8"/>
    <w:rPr>
      <w:color w:val="0000FF"/>
      <w:u w:val="single"/>
    </w:rPr>
  </w:style>
  <w:style w:type="character" w:styleId="HiperlinkVisitado">
    <w:name w:val="FollowedHyperlink"/>
    <w:basedOn w:val="Fontepargpadro"/>
    <w:uiPriority w:val="99"/>
    <w:semiHidden/>
    <w:unhideWhenUsed/>
    <w:rsid w:val="00AC7588"/>
    <w:rPr>
      <w:color w:val="96607D"/>
      <w:u w:val="single"/>
    </w:rPr>
  </w:style>
  <w:style w:type="paragraph" w:customStyle="1" w:styleId="msonormal0">
    <w:name w:val="msonormal"/>
    <w:basedOn w:val="Normal"/>
    <w:rsid w:val="00AC758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3">
    <w:name w:val="xl63"/>
    <w:basedOn w:val="Normal"/>
    <w:rsid w:val="00AC7588"/>
    <w:pPr>
      <w:spacing w:before="100" w:beforeAutospacing="1" w:after="100" w:afterAutospacing="1" w:line="240" w:lineRule="auto"/>
      <w:jc w:val="center"/>
    </w:pPr>
    <w:rPr>
      <w:rFonts w:ascii="Times New Roman" w:eastAsia="Times New Roman" w:hAnsi="Times New Roman" w:cs="Times New Roman"/>
      <w:b/>
      <w:bCs/>
      <w:kern w:val="0"/>
      <w:sz w:val="24"/>
      <w:szCs w:val="24"/>
      <w:lang w:val="en-US"/>
      <w14:ligatures w14:val="none"/>
    </w:rPr>
  </w:style>
  <w:style w:type="paragraph" w:customStyle="1" w:styleId="xl64">
    <w:name w:val="xl64"/>
    <w:basedOn w:val="Normal"/>
    <w:rsid w:val="00AC758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5">
    <w:name w:val="xl65"/>
    <w:basedOn w:val="Normal"/>
    <w:rsid w:val="00AC7588"/>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66">
    <w:name w:val="xl66"/>
    <w:basedOn w:val="Normal"/>
    <w:rsid w:val="00AC7588"/>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xl67">
    <w:name w:val="xl67"/>
    <w:basedOn w:val="Normal"/>
    <w:rsid w:val="00AC7588"/>
    <w:pPr>
      <w:spacing w:before="100" w:beforeAutospacing="1" w:after="100" w:afterAutospacing="1" w:line="240" w:lineRule="auto"/>
      <w:jc w:val="center"/>
    </w:pPr>
    <w:rPr>
      <w:rFonts w:ascii="Times New Roman" w:eastAsia="Times New Roman" w:hAnsi="Times New Roman" w:cs="Times New Roman"/>
      <w:b/>
      <w:bCs/>
      <w:color w:val="000000"/>
      <w:kern w:val="0"/>
      <w:lang w:val="en-US"/>
      <w14:ligatures w14:val="none"/>
    </w:rPr>
  </w:style>
  <w:style w:type="table" w:styleId="TabeladeGrade4">
    <w:name w:val="Grid Table 4"/>
    <w:basedOn w:val="Tabelanormal"/>
    <w:uiPriority w:val="49"/>
    <w:rsid w:val="00AC75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AC758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oPendente">
    <w:name w:val="Unresolved Mention"/>
    <w:basedOn w:val="Fontepargpadro"/>
    <w:uiPriority w:val="99"/>
    <w:semiHidden/>
    <w:unhideWhenUsed/>
    <w:rsid w:val="008C3115"/>
    <w:rPr>
      <w:color w:val="605E5C"/>
      <w:shd w:val="clear" w:color="auto" w:fill="E1DFDD"/>
    </w:rPr>
  </w:style>
  <w:style w:type="paragraph" w:styleId="Reviso">
    <w:name w:val="Revision"/>
    <w:hidden/>
    <w:uiPriority w:val="99"/>
    <w:semiHidden/>
    <w:rsid w:val="00334AD3"/>
    <w:pPr>
      <w:spacing w:after="0" w:line="240" w:lineRule="auto"/>
    </w:pPr>
  </w:style>
  <w:style w:type="paragraph" w:styleId="Cabealho">
    <w:name w:val="header"/>
    <w:basedOn w:val="Normal"/>
    <w:link w:val="CabealhoChar"/>
    <w:uiPriority w:val="99"/>
    <w:unhideWhenUsed/>
    <w:rsid w:val="00EC70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7077"/>
  </w:style>
  <w:style w:type="paragraph" w:styleId="Rodap">
    <w:name w:val="footer"/>
    <w:basedOn w:val="Normal"/>
    <w:link w:val="RodapChar"/>
    <w:uiPriority w:val="99"/>
    <w:unhideWhenUsed/>
    <w:rsid w:val="00EC7077"/>
    <w:pPr>
      <w:tabs>
        <w:tab w:val="center" w:pos="4252"/>
        <w:tab w:val="right" w:pos="8504"/>
      </w:tabs>
      <w:spacing w:after="0" w:line="240" w:lineRule="auto"/>
    </w:pPr>
  </w:style>
  <w:style w:type="character" w:customStyle="1" w:styleId="RodapChar">
    <w:name w:val="Rodapé Char"/>
    <w:basedOn w:val="Fontepargpadro"/>
    <w:link w:val="Rodap"/>
    <w:uiPriority w:val="99"/>
    <w:rsid w:val="00EC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4569">
      <w:bodyDiv w:val="1"/>
      <w:marLeft w:val="0"/>
      <w:marRight w:val="0"/>
      <w:marTop w:val="0"/>
      <w:marBottom w:val="0"/>
      <w:divBdr>
        <w:top w:val="none" w:sz="0" w:space="0" w:color="auto"/>
        <w:left w:val="none" w:sz="0" w:space="0" w:color="auto"/>
        <w:bottom w:val="none" w:sz="0" w:space="0" w:color="auto"/>
        <w:right w:val="none" w:sz="0" w:space="0" w:color="auto"/>
      </w:divBdr>
    </w:div>
    <w:div w:id="44065315">
      <w:bodyDiv w:val="1"/>
      <w:marLeft w:val="0"/>
      <w:marRight w:val="0"/>
      <w:marTop w:val="0"/>
      <w:marBottom w:val="0"/>
      <w:divBdr>
        <w:top w:val="none" w:sz="0" w:space="0" w:color="auto"/>
        <w:left w:val="none" w:sz="0" w:space="0" w:color="auto"/>
        <w:bottom w:val="none" w:sz="0" w:space="0" w:color="auto"/>
        <w:right w:val="none" w:sz="0" w:space="0" w:color="auto"/>
      </w:divBdr>
    </w:div>
    <w:div w:id="90591599">
      <w:bodyDiv w:val="1"/>
      <w:marLeft w:val="0"/>
      <w:marRight w:val="0"/>
      <w:marTop w:val="0"/>
      <w:marBottom w:val="0"/>
      <w:divBdr>
        <w:top w:val="none" w:sz="0" w:space="0" w:color="auto"/>
        <w:left w:val="none" w:sz="0" w:space="0" w:color="auto"/>
        <w:bottom w:val="none" w:sz="0" w:space="0" w:color="auto"/>
        <w:right w:val="none" w:sz="0" w:space="0" w:color="auto"/>
      </w:divBdr>
    </w:div>
    <w:div w:id="191963243">
      <w:bodyDiv w:val="1"/>
      <w:marLeft w:val="0"/>
      <w:marRight w:val="0"/>
      <w:marTop w:val="0"/>
      <w:marBottom w:val="0"/>
      <w:divBdr>
        <w:top w:val="none" w:sz="0" w:space="0" w:color="auto"/>
        <w:left w:val="none" w:sz="0" w:space="0" w:color="auto"/>
        <w:bottom w:val="none" w:sz="0" w:space="0" w:color="auto"/>
        <w:right w:val="none" w:sz="0" w:space="0" w:color="auto"/>
      </w:divBdr>
    </w:div>
    <w:div w:id="489517951">
      <w:bodyDiv w:val="1"/>
      <w:marLeft w:val="0"/>
      <w:marRight w:val="0"/>
      <w:marTop w:val="0"/>
      <w:marBottom w:val="0"/>
      <w:divBdr>
        <w:top w:val="none" w:sz="0" w:space="0" w:color="auto"/>
        <w:left w:val="none" w:sz="0" w:space="0" w:color="auto"/>
        <w:bottom w:val="none" w:sz="0" w:space="0" w:color="auto"/>
        <w:right w:val="none" w:sz="0" w:space="0" w:color="auto"/>
      </w:divBdr>
    </w:div>
    <w:div w:id="525558194">
      <w:bodyDiv w:val="1"/>
      <w:marLeft w:val="0"/>
      <w:marRight w:val="0"/>
      <w:marTop w:val="0"/>
      <w:marBottom w:val="0"/>
      <w:divBdr>
        <w:top w:val="none" w:sz="0" w:space="0" w:color="auto"/>
        <w:left w:val="none" w:sz="0" w:space="0" w:color="auto"/>
        <w:bottom w:val="none" w:sz="0" w:space="0" w:color="auto"/>
        <w:right w:val="none" w:sz="0" w:space="0" w:color="auto"/>
      </w:divBdr>
    </w:div>
    <w:div w:id="527375970">
      <w:bodyDiv w:val="1"/>
      <w:marLeft w:val="0"/>
      <w:marRight w:val="0"/>
      <w:marTop w:val="0"/>
      <w:marBottom w:val="0"/>
      <w:divBdr>
        <w:top w:val="none" w:sz="0" w:space="0" w:color="auto"/>
        <w:left w:val="none" w:sz="0" w:space="0" w:color="auto"/>
        <w:bottom w:val="none" w:sz="0" w:space="0" w:color="auto"/>
        <w:right w:val="none" w:sz="0" w:space="0" w:color="auto"/>
      </w:divBdr>
    </w:div>
    <w:div w:id="572858568">
      <w:bodyDiv w:val="1"/>
      <w:marLeft w:val="0"/>
      <w:marRight w:val="0"/>
      <w:marTop w:val="0"/>
      <w:marBottom w:val="0"/>
      <w:divBdr>
        <w:top w:val="none" w:sz="0" w:space="0" w:color="auto"/>
        <w:left w:val="none" w:sz="0" w:space="0" w:color="auto"/>
        <w:bottom w:val="none" w:sz="0" w:space="0" w:color="auto"/>
        <w:right w:val="none" w:sz="0" w:space="0" w:color="auto"/>
      </w:divBdr>
    </w:div>
    <w:div w:id="719670862">
      <w:bodyDiv w:val="1"/>
      <w:marLeft w:val="0"/>
      <w:marRight w:val="0"/>
      <w:marTop w:val="0"/>
      <w:marBottom w:val="0"/>
      <w:divBdr>
        <w:top w:val="none" w:sz="0" w:space="0" w:color="auto"/>
        <w:left w:val="none" w:sz="0" w:space="0" w:color="auto"/>
        <w:bottom w:val="none" w:sz="0" w:space="0" w:color="auto"/>
        <w:right w:val="none" w:sz="0" w:space="0" w:color="auto"/>
      </w:divBdr>
    </w:div>
    <w:div w:id="1179389679">
      <w:bodyDiv w:val="1"/>
      <w:marLeft w:val="0"/>
      <w:marRight w:val="0"/>
      <w:marTop w:val="0"/>
      <w:marBottom w:val="0"/>
      <w:divBdr>
        <w:top w:val="none" w:sz="0" w:space="0" w:color="auto"/>
        <w:left w:val="none" w:sz="0" w:space="0" w:color="auto"/>
        <w:bottom w:val="none" w:sz="0" w:space="0" w:color="auto"/>
        <w:right w:val="none" w:sz="0" w:space="0" w:color="auto"/>
      </w:divBdr>
    </w:div>
    <w:div w:id="1214847340">
      <w:bodyDiv w:val="1"/>
      <w:marLeft w:val="0"/>
      <w:marRight w:val="0"/>
      <w:marTop w:val="0"/>
      <w:marBottom w:val="0"/>
      <w:divBdr>
        <w:top w:val="none" w:sz="0" w:space="0" w:color="auto"/>
        <w:left w:val="none" w:sz="0" w:space="0" w:color="auto"/>
        <w:bottom w:val="none" w:sz="0" w:space="0" w:color="auto"/>
        <w:right w:val="none" w:sz="0" w:space="0" w:color="auto"/>
      </w:divBdr>
    </w:div>
    <w:div w:id="1255942849">
      <w:bodyDiv w:val="1"/>
      <w:marLeft w:val="0"/>
      <w:marRight w:val="0"/>
      <w:marTop w:val="0"/>
      <w:marBottom w:val="0"/>
      <w:divBdr>
        <w:top w:val="none" w:sz="0" w:space="0" w:color="auto"/>
        <w:left w:val="none" w:sz="0" w:space="0" w:color="auto"/>
        <w:bottom w:val="none" w:sz="0" w:space="0" w:color="auto"/>
        <w:right w:val="none" w:sz="0" w:space="0" w:color="auto"/>
      </w:divBdr>
    </w:div>
    <w:div w:id="1336567973">
      <w:bodyDiv w:val="1"/>
      <w:marLeft w:val="0"/>
      <w:marRight w:val="0"/>
      <w:marTop w:val="0"/>
      <w:marBottom w:val="0"/>
      <w:divBdr>
        <w:top w:val="none" w:sz="0" w:space="0" w:color="auto"/>
        <w:left w:val="none" w:sz="0" w:space="0" w:color="auto"/>
        <w:bottom w:val="none" w:sz="0" w:space="0" w:color="auto"/>
        <w:right w:val="none" w:sz="0" w:space="0" w:color="auto"/>
      </w:divBdr>
    </w:div>
    <w:div w:id="1585995315">
      <w:bodyDiv w:val="1"/>
      <w:marLeft w:val="0"/>
      <w:marRight w:val="0"/>
      <w:marTop w:val="0"/>
      <w:marBottom w:val="0"/>
      <w:divBdr>
        <w:top w:val="none" w:sz="0" w:space="0" w:color="auto"/>
        <w:left w:val="none" w:sz="0" w:space="0" w:color="auto"/>
        <w:bottom w:val="none" w:sz="0" w:space="0" w:color="auto"/>
        <w:right w:val="none" w:sz="0" w:space="0" w:color="auto"/>
      </w:divBdr>
    </w:div>
    <w:div w:id="1694186209">
      <w:bodyDiv w:val="1"/>
      <w:marLeft w:val="0"/>
      <w:marRight w:val="0"/>
      <w:marTop w:val="0"/>
      <w:marBottom w:val="0"/>
      <w:divBdr>
        <w:top w:val="none" w:sz="0" w:space="0" w:color="auto"/>
        <w:left w:val="none" w:sz="0" w:space="0" w:color="auto"/>
        <w:bottom w:val="none" w:sz="0" w:space="0" w:color="auto"/>
        <w:right w:val="none" w:sz="0" w:space="0" w:color="auto"/>
      </w:divBdr>
    </w:div>
    <w:div w:id="1923561357">
      <w:bodyDiv w:val="1"/>
      <w:marLeft w:val="0"/>
      <w:marRight w:val="0"/>
      <w:marTop w:val="0"/>
      <w:marBottom w:val="0"/>
      <w:divBdr>
        <w:top w:val="none" w:sz="0" w:space="0" w:color="auto"/>
        <w:left w:val="none" w:sz="0" w:space="0" w:color="auto"/>
        <w:bottom w:val="none" w:sz="0" w:space="0" w:color="auto"/>
        <w:right w:val="none" w:sz="0" w:space="0" w:color="auto"/>
      </w:divBdr>
    </w:div>
    <w:div w:id="1976369539">
      <w:bodyDiv w:val="1"/>
      <w:marLeft w:val="0"/>
      <w:marRight w:val="0"/>
      <w:marTop w:val="0"/>
      <w:marBottom w:val="0"/>
      <w:divBdr>
        <w:top w:val="none" w:sz="0" w:space="0" w:color="auto"/>
        <w:left w:val="none" w:sz="0" w:space="0" w:color="auto"/>
        <w:bottom w:val="none" w:sz="0" w:space="0" w:color="auto"/>
        <w:right w:val="none" w:sz="0" w:space="0" w:color="auto"/>
      </w:divBdr>
    </w:div>
    <w:div w:id="21108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ume.ufrgs.br/handle/10183/26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res\Downloads\ic%202024-2025\Laressa_da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res\Downloads\ic%202024-2025\Laressa_da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res\Downloads\ic%202024-2025\Laressa_dado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sorriso!$A$3</c:f>
              <c:strCache>
                <c:ptCount val="1"/>
                <c:pt idx="0">
                  <c:v>Vazão mensal </c:v>
                </c:pt>
              </c:strCache>
            </c:strRef>
          </c:tx>
          <c:spPr>
            <a:solidFill>
              <a:schemeClr val="accent1"/>
            </a:solidFill>
            <a:ln>
              <a:noFill/>
            </a:ln>
            <a:effectLst/>
          </c:spPr>
          <c:invertIfNegative val="0"/>
          <c:cat>
            <c:strRef>
              <c:f>sorriso!$B$2:$M$2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sorriso!$B$3:$M$3</c:f>
              <c:numCache>
                <c:formatCode>0.00</c:formatCode>
                <c:ptCount val="12"/>
                <c:pt idx="0">
                  <c:v>232.17</c:v>
                </c:pt>
                <c:pt idx="1">
                  <c:v>310.23674999999997</c:v>
                </c:pt>
                <c:pt idx="2">
                  <c:v>365.87554999999998</c:v>
                </c:pt>
                <c:pt idx="3">
                  <c:v>247.94804999999999</c:v>
                </c:pt>
                <c:pt idx="4">
                  <c:v>153.102</c:v>
                </c:pt>
                <c:pt idx="5">
                  <c:v>112.5766</c:v>
                </c:pt>
                <c:pt idx="6">
                  <c:v>89.94</c:v>
                </c:pt>
                <c:pt idx="7">
                  <c:v>79.66</c:v>
                </c:pt>
                <c:pt idx="8">
                  <c:v>76.315055000000001</c:v>
                </c:pt>
                <c:pt idx="9">
                  <c:v>83.04</c:v>
                </c:pt>
                <c:pt idx="10">
                  <c:v>114.50855</c:v>
                </c:pt>
                <c:pt idx="11">
                  <c:v>161.35335000000001</c:v>
                </c:pt>
              </c:numCache>
            </c:numRef>
          </c:val>
          <c:extLst>
            <c:ext xmlns:c16="http://schemas.microsoft.com/office/drawing/2014/chart" uri="{C3380CC4-5D6E-409C-BE32-E72D297353CC}">
              <c16:uniqueId val="{00000000-1E93-46E2-9871-234D49931907}"/>
            </c:ext>
          </c:extLst>
        </c:ser>
        <c:ser>
          <c:idx val="3"/>
          <c:order val="3"/>
          <c:tx>
            <c:strRef>
              <c:f>sorriso!$A$6</c:f>
              <c:strCache>
                <c:ptCount val="1"/>
                <c:pt idx="0">
                  <c:v>Vazão anual</c:v>
                </c:pt>
              </c:strCache>
            </c:strRef>
          </c:tx>
          <c:spPr>
            <a:solidFill>
              <a:schemeClr val="accent4"/>
            </a:solidFill>
            <a:ln>
              <a:noFill/>
            </a:ln>
            <a:effectLst/>
          </c:spPr>
          <c:invertIfNegative val="0"/>
          <c:cat>
            <c:strRef>
              <c:f>sorriso!$B$2:$M$2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sorriso!$B$6:$M$6</c:f>
              <c:numCache>
                <c:formatCode>0.00</c:formatCode>
                <c:ptCount val="12"/>
                <c:pt idx="0">
                  <c:v>88.460700000000003</c:v>
                </c:pt>
                <c:pt idx="1">
                  <c:v>88.460700000000003</c:v>
                </c:pt>
                <c:pt idx="2">
                  <c:v>88.460700000000003</c:v>
                </c:pt>
                <c:pt idx="3">
                  <c:v>88.460700000000003</c:v>
                </c:pt>
                <c:pt idx="4">
                  <c:v>88.460700000000003</c:v>
                </c:pt>
                <c:pt idx="5">
                  <c:v>88.460700000000003</c:v>
                </c:pt>
                <c:pt idx="6">
                  <c:v>88.460700000000003</c:v>
                </c:pt>
                <c:pt idx="7">
                  <c:v>88.460700000000003</c:v>
                </c:pt>
                <c:pt idx="8">
                  <c:v>88.460700000000003</c:v>
                </c:pt>
                <c:pt idx="9">
                  <c:v>88.460700000000003</c:v>
                </c:pt>
                <c:pt idx="10">
                  <c:v>88.460700000000003</c:v>
                </c:pt>
                <c:pt idx="11">
                  <c:v>88.460700000000003</c:v>
                </c:pt>
              </c:numCache>
            </c:numRef>
          </c:val>
          <c:extLst>
            <c:ext xmlns:c16="http://schemas.microsoft.com/office/drawing/2014/chart" uri="{C3380CC4-5D6E-409C-BE32-E72D297353CC}">
              <c16:uniqueId val="{00000001-1E93-46E2-9871-234D49931907}"/>
            </c:ext>
          </c:extLst>
        </c:ser>
        <c:dLbls>
          <c:showLegendKey val="0"/>
          <c:showVal val="0"/>
          <c:showCatName val="0"/>
          <c:showSerName val="0"/>
          <c:showPercent val="0"/>
          <c:showBubbleSize val="0"/>
        </c:dLbls>
        <c:gapWidth val="150"/>
        <c:axId val="1663165616"/>
        <c:axId val="1663159376"/>
      </c:barChart>
      <c:lineChart>
        <c:grouping val="standard"/>
        <c:varyColors val="0"/>
        <c:ser>
          <c:idx val="1"/>
          <c:order val="1"/>
          <c:tx>
            <c:strRef>
              <c:f>sorriso!$A$4</c:f>
              <c:strCache>
                <c:ptCount val="1"/>
                <c:pt idx="0">
                  <c:v>70% da Q95 mensal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sorriso!$B$2:$M$2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sorriso!$B$4:$M$4</c:f>
              <c:numCache>
                <c:formatCode>0.00</c:formatCode>
                <c:ptCount val="12"/>
                <c:pt idx="0">
                  <c:v>162.51899999999998</c:v>
                </c:pt>
                <c:pt idx="1">
                  <c:v>217.16572499999998</c:v>
                </c:pt>
                <c:pt idx="2">
                  <c:v>256.11288499999995</c:v>
                </c:pt>
                <c:pt idx="3">
                  <c:v>173.56363499999998</c:v>
                </c:pt>
                <c:pt idx="4">
                  <c:v>107.17139999999999</c:v>
                </c:pt>
                <c:pt idx="5">
                  <c:v>78.803619999999995</c:v>
                </c:pt>
                <c:pt idx="6">
                  <c:v>62.957999999999991</c:v>
                </c:pt>
                <c:pt idx="7">
                  <c:v>55.761999999999993</c:v>
                </c:pt>
                <c:pt idx="8">
                  <c:v>53.420538499999999</c:v>
                </c:pt>
                <c:pt idx="9">
                  <c:v>58.128</c:v>
                </c:pt>
                <c:pt idx="10">
                  <c:v>80.155985000000001</c:v>
                </c:pt>
                <c:pt idx="11">
                  <c:v>112.947345</c:v>
                </c:pt>
              </c:numCache>
            </c:numRef>
          </c:val>
          <c:smooth val="0"/>
          <c:extLst>
            <c:ext xmlns:c16="http://schemas.microsoft.com/office/drawing/2014/chart" uri="{C3380CC4-5D6E-409C-BE32-E72D297353CC}">
              <c16:uniqueId val="{00000002-1E93-46E2-9871-234D49931907}"/>
            </c:ext>
          </c:extLst>
        </c:ser>
        <c:ser>
          <c:idx val="2"/>
          <c:order val="2"/>
          <c:tx>
            <c:strRef>
              <c:f>sorriso!$A$5</c:f>
              <c:strCache>
                <c:ptCount val="1"/>
                <c:pt idx="0">
                  <c:v>70% da Q95 anual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sorriso!$B$2:$M$2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sorriso!$B$5:$M$5</c:f>
              <c:numCache>
                <c:formatCode>0.00</c:formatCode>
                <c:ptCount val="12"/>
                <c:pt idx="0">
                  <c:v>61.922489999999996</c:v>
                </c:pt>
                <c:pt idx="1">
                  <c:v>61.922489999999996</c:v>
                </c:pt>
                <c:pt idx="2">
                  <c:v>61.922489999999996</c:v>
                </c:pt>
                <c:pt idx="3">
                  <c:v>61.922489999999996</c:v>
                </c:pt>
                <c:pt idx="4">
                  <c:v>61.922489999999996</c:v>
                </c:pt>
                <c:pt idx="5">
                  <c:v>61.922489999999996</c:v>
                </c:pt>
                <c:pt idx="6">
                  <c:v>61.922489999999996</c:v>
                </c:pt>
                <c:pt idx="7">
                  <c:v>61.922489999999996</c:v>
                </c:pt>
                <c:pt idx="8">
                  <c:v>61.922489999999996</c:v>
                </c:pt>
                <c:pt idx="9">
                  <c:v>61.922489999999996</c:v>
                </c:pt>
                <c:pt idx="10">
                  <c:v>61.922489999999996</c:v>
                </c:pt>
                <c:pt idx="11">
                  <c:v>61.922489999999996</c:v>
                </c:pt>
              </c:numCache>
            </c:numRef>
          </c:val>
          <c:smooth val="0"/>
          <c:extLst>
            <c:ext xmlns:c16="http://schemas.microsoft.com/office/drawing/2014/chart" uri="{C3380CC4-5D6E-409C-BE32-E72D297353CC}">
              <c16:uniqueId val="{00000003-1E93-46E2-9871-234D49931907}"/>
            </c:ext>
          </c:extLst>
        </c:ser>
        <c:dLbls>
          <c:showLegendKey val="0"/>
          <c:showVal val="0"/>
          <c:showCatName val="0"/>
          <c:showSerName val="0"/>
          <c:showPercent val="0"/>
          <c:showBubbleSize val="0"/>
        </c:dLbls>
        <c:marker val="1"/>
        <c:smooth val="0"/>
        <c:axId val="1663165616"/>
        <c:axId val="1663159376"/>
      </c:lineChart>
      <c:catAx>
        <c:axId val="1663165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Mês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63159376"/>
        <c:crosses val="autoZero"/>
        <c:auto val="1"/>
        <c:lblAlgn val="ctr"/>
        <c:lblOffset val="100"/>
        <c:noMultiLvlLbl val="0"/>
      </c:catAx>
      <c:valAx>
        <c:axId val="1663159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Vazão (m</a:t>
                </a:r>
                <a:r>
                  <a:rPr lang="pt-BR" baseline="30000"/>
                  <a:t>3</a:t>
                </a:r>
                <a:r>
                  <a:rPr lang="pt-BR"/>
                  <a: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6316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Sapezal!$A$3</c:f>
              <c:strCache>
                <c:ptCount val="1"/>
                <c:pt idx="0">
                  <c:v>Vazão mensal </c:v>
                </c:pt>
              </c:strCache>
            </c:strRef>
          </c:tx>
          <c:spPr>
            <a:solidFill>
              <a:schemeClr val="accent1"/>
            </a:solidFill>
            <a:ln>
              <a:noFill/>
            </a:ln>
            <a:effectLst/>
          </c:spPr>
          <c:invertIfNegative val="0"/>
          <c:cat>
            <c:strRef>
              <c:f>Sapezal!$B$2:$M$2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Sapezal!$B$3:$M$3</c:f>
              <c:numCache>
                <c:formatCode>0.00</c:formatCode>
                <c:ptCount val="12"/>
                <c:pt idx="0">
                  <c:v>129.066</c:v>
                </c:pt>
                <c:pt idx="1">
                  <c:v>134.97999999999999</c:v>
                </c:pt>
                <c:pt idx="2">
                  <c:v>138</c:v>
                </c:pt>
                <c:pt idx="3">
                  <c:v>131.41300000000001</c:v>
                </c:pt>
                <c:pt idx="4">
                  <c:v>125.47839999999999</c:v>
                </c:pt>
                <c:pt idx="5">
                  <c:v>123.878</c:v>
                </c:pt>
                <c:pt idx="6">
                  <c:v>121.05</c:v>
                </c:pt>
                <c:pt idx="7">
                  <c:v>117.71</c:v>
                </c:pt>
                <c:pt idx="8">
                  <c:v>117.16</c:v>
                </c:pt>
                <c:pt idx="9">
                  <c:v>118.26600000000001</c:v>
                </c:pt>
                <c:pt idx="10">
                  <c:v>119.93</c:v>
                </c:pt>
                <c:pt idx="11">
                  <c:v>123.31</c:v>
                </c:pt>
              </c:numCache>
            </c:numRef>
          </c:val>
          <c:extLst>
            <c:ext xmlns:c16="http://schemas.microsoft.com/office/drawing/2014/chart" uri="{C3380CC4-5D6E-409C-BE32-E72D297353CC}">
              <c16:uniqueId val="{00000000-7FEC-4624-B580-22649DEA1E0C}"/>
            </c:ext>
          </c:extLst>
        </c:ser>
        <c:ser>
          <c:idx val="3"/>
          <c:order val="3"/>
          <c:tx>
            <c:strRef>
              <c:f>Sapezal!$A$6</c:f>
              <c:strCache>
                <c:ptCount val="1"/>
                <c:pt idx="0">
                  <c:v>Vazão anual </c:v>
                </c:pt>
              </c:strCache>
            </c:strRef>
          </c:tx>
          <c:spPr>
            <a:solidFill>
              <a:schemeClr val="accent4"/>
            </a:solidFill>
            <a:ln>
              <a:noFill/>
            </a:ln>
            <a:effectLst/>
          </c:spPr>
          <c:invertIfNegative val="0"/>
          <c:cat>
            <c:strRef>
              <c:f>Sapezal!$B$2:$M$2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Sapezal!$B$6:$M$6</c:f>
              <c:numCache>
                <c:formatCode>0.00</c:formatCode>
                <c:ptCount val="12"/>
                <c:pt idx="0">
                  <c:v>119.93300000000001</c:v>
                </c:pt>
                <c:pt idx="1">
                  <c:v>119.93300000000001</c:v>
                </c:pt>
                <c:pt idx="2">
                  <c:v>119.93300000000001</c:v>
                </c:pt>
                <c:pt idx="3">
                  <c:v>119.93300000000001</c:v>
                </c:pt>
                <c:pt idx="4">
                  <c:v>119.93300000000001</c:v>
                </c:pt>
                <c:pt idx="5">
                  <c:v>119.93300000000001</c:v>
                </c:pt>
                <c:pt idx="6">
                  <c:v>119.93300000000001</c:v>
                </c:pt>
                <c:pt idx="7">
                  <c:v>119.93300000000001</c:v>
                </c:pt>
                <c:pt idx="8">
                  <c:v>119.93300000000001</c:v>
                </c:pt>
                <c:pt idx="9">
                  <c:v>119.93300000000001</c:v>
                </c:pt>
                <c:pt idx="10">
                  <c:v>119.93300000000001</c:v>
                </c:pt>
                <c:pt idx="11">
                  <c:v>119.93300000000001</c:v>
                </c:pt>
              </c:numCache>
            </c:numRef>
          </c:val>
          <c:extLst>
            <c:ext xmlns:c16="http://schemas.microsoft.com/office/drawing/2014/chart" uri="{C3380CC4-5D6E-409C-BE32-E72D297353CC}">
              <c16:uniqueId val="{00000001-7FEC-4624-B580-22649DEA1E0C}"/>
            </c:ext>
          </c:extLst>
        </c:ser>
        <c:dLbls>
          <c:showLegendKey val="0"/>
          <c:showVal val="0"/>
          <c:showCatName val="0"/>
          <c:showSerName val="0"/>
          <c:showPercent val="0"/>
          <c:showBubbleSize val="0"/>
        </c:dLbls>
        <c:gapWidth val="150"/>
        <c:axId val="1386392880"/>
        <c:axId val="1386392400"/>
      </c:barChart>
      <c:lineChart>
        <c:grouping val="standard"/>
        <c:varyColors val="0"/>
        <c:ser>
          <c:idx val="1"/>
          <c:order val="1"/>
          <c:tx>
            <c:strRef>
              <c:f>Sapezal!$A$4</c:f>
              <c:strCache>
                <c:ptCount val="1"/>
                <c:pt idx="0">
                  <c:v>70% da Q95 mensal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Sapezal!$B$2:$M$2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Sapezal!$B$4:$M$4</c:f>
              <c:numCache>
                <c:formatCode>0.00</c:formatCode>
                <c:ptCount val="12"/>
                <c:pt idx="0">
                  <c:v>90.346199999999996</c:v>
                </c:pt>
                <c:pt idx="1">
                  <c:v>94.48599999999999</c:v>
                </c:pt>
                <c:pt idx="2">
                  <c:v>96.6</c:v>
                </c:pt>
                <c:pt idx="3">
                  <c:v>91.989100000000008</c:v>
                </c:pt>
                <c:pt idx="4">
                  <c:v>87.834879999999984</c:v>
                </c:pt>
                <c:pt idx="5">
                  <c:v>86.71459999999999</c:v>
                </c:pt>
                <c:pt idx="6">
                  <c:v>84.734999999999999</c:v>
                </c:pt>
                <c:pt idx="7">
                  <c:v>82.396999999999991</c:v>
                </c:pt>
                <c:pt idx="8">
                  <c:v>82.011999999999986</c:v>
                </c:pt>
                <c:pt idx="9">
                  <c:v>82.786199999999994</c:v>
                </c:pt>
                <c:pt idx="10">
                  <c:v>83.950999999999993</c:v>
                </c:pt>
                <c:pt idx="11">
                  <c:v>86.316999999999993</c:v>
                </c:pt>
              </c:numCache>
            </c:numRef>
          </c:val>
          <c:smooth val="0"/>
          <c:extLst>
            <c:ext xmlns:c16="http://schemas.microsoft.com/office/drawing/2014/chart" uri="{C3380CC4-5D6E-409C-BE32-E72D297353CC}">
              <c16:uniqueId val="{00000002-7FEC-4624-B580-22649DEA1E0C}"/>
            </c:ext>
          </c:extLst>
        </c:ser>
        <c:ser>
          <c:idx val="2"/>
          <c:order val="2"/>
          <c:tx>
            <c:strRef>
              <c:f>Sapezal!$A$5</c:f>
              <c:strCache>
                <c:ptCount val="1"/>
                <c:pt idx="0">
                  <c:v>70% da Q95 anual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Sapezal!$B$2:$M$2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Sapezal!$B$5:$M$5</c:f>
              <c:numCache>
                <c:formatCode>0.00</c:formatCode>
                <c:ptCount val="12"/>
                <c:pt idx="0">
                  <c:v>83.953100000000006</c:v>
                </c:pt>
                <c:pt idx="1">
                  <c:v>83.953100000000006</c:v>
                </c:pt>
                <c:pt idx="2">
                  <c:v>83.953100000000006</c:v>
                </c:pt>
                <c:pt idx="3">
                  <c:v>83.953100000000006</c:v>
                </c:pt>
                <c:pt idx="4">
                  <c:v>83.953100000000006</c:v>
                </c:pt>
                <c:pt idx="5">
                  <c:v>83.953100000000006</c:v>
                </c:pt>
                <c:pt idx="6">
                  <c:v>83.953100000000006</c:v>
                </c:pt>
                <c:pt idx="7">
                  <c:v>83.953100000000006</c:v>
                </c:pt>
                <c:pt idx="8">
                  <c:v>83.953100000000006</c:v>
                </c:pt>
                <c:pt idx="9">
                  <c:v>83.953100000000006</c:v>
                </c:pt>
                <c:pt idx="10">
                  <c:v>83.953100000000006</c:v>
                </c:pt>
                <c:pt idx="11">
                  <c:v>83.953100000000006</c:v>
                </c:pt>
              </c:numCache>
            </c:numRef>
          </c:val>
          <c:smooth val="0"/>
          <c:extLst>
            <c:ext xmlns:c16="http://schemas.microsoft.com/office/drawing/2014/chart" uri="{C3380CC4-5D6E-409C-BE32-E72D297353CC}">
              <c16:uniqueId val="{00000003-7FEC-4624-B580-22649DEA1E0C}"/>
            </c:ext>
          </c:extLst>
        </c:ser>
        <c:dLbls>
          <c:showLegendKey val="0"/>
          <c:showVal val="0"/>
          <c:showCatName val="0"/>
          <c:showSerName val="0"/>
          <c:showPercent val="0"/>
          <c:showBubbleSize val="0"/>
        </c:dLbls>
        <c:marker val="1"/>
        <c:smooth val="0"/>
        <c:axId val="1386392880"/>
        <c:axId val="1386392400"/>
      </c:lineChart>
      <c:catAx>
        <c:axId val="138639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Mês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86392400"/>
        <c:crosses val="autoZero"/>
        <c:auto val="1"/>
        <c:lblAlgn val="ctr"/>
        <c:lblOffset val="100"/>
        <c:noMultiLvlLbl val="0"/>
      </c:catAx>
      <c:valAx>
        <c:axId val="138639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Vazão - (m</a:t>
                </a:r>
                <a:r>
                  <a:rPr lang="pt-BR" sz="800" b="0" i="0" u="none" strike="noStrike" kern="1200" baseline="30000">
                    <a:solidFill>
                      <a:sysClr val="windowText" lastClr="000000">
                        <a:lumMod val="65000"/>
                        <a:lumOff val="35000"/>
                      </a:sysClr>
                    </a:solidFill>
                  </a:rPr>
                  <a:t>3</a:t>
                </a:r>
                <a:r>
                  <a:rPr lang="pt-BR"/>
                  <a:t>/s)</a:t>
                </a:r>
              </a:p>
            </c:rich>
          </c:tx>
          <c:layout>
            <c:manualLayout>
              <c:xMode val="edge"/>
              <c:yMode val="edge"/>
              <c:x val="2.3501762632197415E-2"/>
              <c:y val="0.3848098894542759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86392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'Campo Novo do Parecis'!$A$3</c:f>
              <c:strCache>
                <c:ptCount val="1"/>
                <c:pt idx="0">
                  <c:v>Vazão mensal </c:v>
                </c:pt>
              </c:strCache>
            </c:strRef>
          </c:tx>
          <c:spPr>
            <a:solidFill>
              <a:schemeClr val="accent1"/>
            </a:solidFill>
            <a:ln>
              <a:noFill/>
            </a:ln>
            <a:effectLst/>
          </c:spPr>
          <c:invertIfNegative val="0"/>
          <c:cat>
            <c:strRef>
              <c:f>'Campo Novo do Parecis'!$B$2:$M$2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'Campo Novo do Parecis'!$B$3:$M$3</c:f>
              <c:numCache>
                <c:formatCode>0.00</c:formatCode>
                <c:ptCount val="12"/>
                <c:pt idx="0">
                  <c:v>151.26</c:v>
                </c:pt>
                <c:pt idx="1">
                  <c:v>153.13550000000001</c:v>
                </c:pt>
                <c:pt idx="2">
                  <c:v>165.12</c:v>
                </c:pt>
                <c:pt idx="3">
                  <c:v>154.66999999999999</c:v>
                </c:pt>
                <c:pt idx="4">
                  <c:v>141.22</c:v>
                </c:pt>
                <c:pt idx="5">
                  <c:v>132.8415</c:v>
                </c:pt>
                <c:pt idx="6">
                  <c:v>125.17</c:v>
                </c:pt>
                <c:pt idx="7">
                  <c:v>118.99</c:v>
                </c:pt>
                <c:pt idx="8">
                  <c:v>125.092</c:v>
                </c:pt>
                <c:pt idx="9">
                  <c:v>125.17</c:v>
                </c:pt>
                <c:pt idx="10">
                  <c:v>141.28460000000001</c:v>
                </c:pt>
                <c:pt idx="11">
                  <c:v>144.53</c:v>
                </c:pt>
              </c:numCache>
            </c:numRef>
          </c:val>
          <c:extLst>
            <c:ext xmlns:c16="http://schemas.microsoft.com/office/drawing/2014/chart" uri="{C3380CC4-5D6E-409C-BE32-E72D297353CC}">
              <c16:uniqueId val="{00000000-3202-435C-96CC-D4387E2E3369}"/>
            </c:ext>
          </c:extLst>
        </c:ser>
        <c:ser>
          <c:idx val="3"/>
          <c:order val="3"/>
          <c:tx>
            <c:strRef>
              <c:f>'Campo Novo do Parecis'!$A$6</c:f>
              <c:strCache>
                <c:ptCount val="1"/>
                <c:pt idx="0">
                  <c:v>Vazão anual </c:v>
                </c:pt>
              </c:strCache>
            </c:strRef>
          </c:tx>
          <c:spPr>
            <a:solidFill>
              <a:srgbClr val="7030A0"/>
            </a:solidFill>
            <a:ln>
              <a:noFill/>
            </a:ln>
            <a:effectLst/>
          </c:spPr>
          <c:invertIfNegative val="0"/>
          <c:cat>
            <c:strRef>
              <c:f>'Campo Novo do Parecis'!$B$2:$M$2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'Campo Novo do Parecis'!$B$6:$M$6</c:f>
              <c:numCache>
                <c:formatCode>0.00</c:formatCode>
                <c:ptCount val="12"/>
                <c:pt idx="0">
                  <c:v>134.69</c:v>
                </c:pt>
                <c:pt idx="1">
                  <c:v>134.69</c:v>
                </c:pt>
                <c:pt idx="2">
                  <c:v>134.69</c:v>
                </c:pt>
                <c:pt idx="3">
                  <c:v>134.69</c:v>
                </c:pt>
                <c:pt idx="4">
                  <c:v>134.69</c:v>
                </c:pt>
                <c:pt idx="5">
                  <c:v>134.69</c:v>
                </c:pt>
                <c:pt idx="6">
                  <c:v>134.69</c:v>
                </c:pt>
                <c:pt idx="7">
                  <c:v>134.69</c:v>
                </c:pt>
                <c:pt idx="8">
                  <c:v>134.69</c:v>
                </c:pt>
                <c:pt idx="9">
                  <c:v>134.69</c:v>
                </c:pt>
                <c:pt idx="10">
                  <c:v>134.69</c:v>
                </c:pt>
                <c:pt idx="11">
                  <c:v>134.69</c:v>
                </c:pt>
              </c:numCache>
            </c:numRef>
          </c:val>
          <c:extLst>
            <c:ext xmlns:c16="http://schemas.microsoft.com/office/drawing/2014/chart" uri="{C3380CC4-5D6E-409C-BE32-E72D297353CC}">
              <c16:uniqueId val="{00000001-3202-435C-96CC-D4387E2E3369}"/>
            </c:ext>
          </c:extLst>
        </c:ser>
        <c:dLbls>
          <c:showLegendKey val="0"/>
          <c:showVal val="0"/>
          <c:showCatName val="0"/>
          <c:showSerName val="0"/>
          <c:showPercent val="0"/>
          <c:showBubbleSize val="0"/>
        </c:dLbls>
        <c:gapWidth val="150"/>
        <c:axId val="1675242848"/>
        <c:axId val="1675221728"/>
      </c:barChart>
      <c:lineChart>
        <c:grouping val="standard"/>
        <c:varyColors val="0"/>
        <c:ser>
          <c:idx val="1"/>
          <c:order val="1"/>
          <c:tx>
            <c:strRef>
              <c:f>'Campo Novo do Parecis'!$A$4</c:f>
              <c:strCache>
                <c:ptCount val="1"/>
                <c:pt idx="0">
                  <c:v>70% da Q95 mensal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'Campo Novo do Parecis'!$B$2:$M$2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'Campo Novo do Parecis'!$B$4:$M$4</c:f>
              <c:numCache>
                <c:formatCode>0.00</c:formatCode>
                <c:ptCount val="12"/>
                <c:pt idx="0">
                  <c:v>105.88199999999999</c:v>
                </c:pt>
                <c:pt idx="1">
                  <c:v>107.19485</c:v>
                </c:pt>
                <c:pt idx="2">
                  <c:v>115.58399999999999</c:v>
                </c:pt>
                <c:pt idx="3">
                  <c:v>108.26899999999999</c:v>
                </c:pt>
                <c:pt idx="4">
                  <c:v>98.853999999999999</c:v>
                </c:pt>
                <c:pt idx="5">
                  <c:v>92.989049999999992</c:v>
                </c:pt>
                <c:pt idx="6">
                  <c:v>87.619</c:v>
                </c:pt>
                <c:pt idx="7">
                  <c:v>83.292999999999992</c:v>
                </c:pt>
                <c:pt idx="8">
                  <c:v>87.564399999999992</c:v>
                </c:pt>
                <c:pt idx="9">
                  <c:v>87.619</c:v>
                </c:pt>
                <c:pt idx="10">
                  <c:v>98.89922</c:v>
                </c:pt>
                <c:pt idx="11">
                  <c:v>101.17099999999999</c:v>
                </c:pt>
              </c:numCache>
            </c:numRef>
          </c:val>
          <c:smooth val="0"/>
          <c:extLst>
            <c:ext xmlns:c16="http://schemas.microsoft.com/office/drawing/2014/chart" uri="{C3380CC4-5D6E-409C-BE32-E72D297353CC}">
              <c16:uniqueId val="{00000002-3202-435C-96CC-D4387E2E3369}"/>
            </c:ext>
          </c:extLst>
        </c:ser>
        <c:ser>
          <c:idx val="2"/>
          <c:order val="2"/>
          <c:tx>
            <c:strRef>
              <c:f>'Campo Novo do Parecis'!$A$5</c:f>
              <c:strCache>
                <c:ptCount val="1"/>
                <c:pt idx="0">
                  <c:v>70% da Q95 anual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'Campo Novo do Parecis'!$B$2:$M$2</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'Campo Novo do Parecis'!$B$5:$M$5</c:f>
              <c:numCache>
                <c:formatCode>0.00</c:formatCode>
                <c:ptCount val="12"/>
                <c:pt idx="0">
                  <c:v>94.282999999999987</c:v>
                </c:pt>
                <c:pt idx="1">
                  <c:v>94.282999999999987</c:v>
                </c:pt>
                <c:pt idx="2">
                  <c:v>94.282999999999987</c:v>
                </c:pt>
                <c:pt idx="3">
                  <c:v>94.282999999999987</c:v>
                </c:pt>
                <c:pt idx="4">
                  <c:v>94.282999999999987</c:v>
                </c:pt>
                <c:pt idx="5">
                  <c:v>94.282999999999987</c:v>
                </c:pt>
                <c:pt idx="6">
                  <c:v>94.282999999999987</c:v>
                </c:pt>
                <c:pt idx="7">
                  <c:v>94.282999999999987</c:v>
                </c:pt>
                <c:pt idx="8">
                  <c:v>94.282999999999987</c:v>
                </c:pt>
                <c:pt idx="9">
                  <c:v>94.282999999999987</c:v>
                </c:pt>
                <c:pt idx="10">
                  <c:v>94.282999999999987</c:v>
                </c:pt>
                <c:pt idx="11">
                  <c:v>94.282999999999987</c:v>
                </c:pt>
              </c:numCache>
            </c:numRef>
          </c:val>
          <c:smooth val="0"/>
          <c:extLst>
            <c:ext xmlns:c16="http://schemas.microsoft.com/office/drawing/2014/chart" uri="{C3380CC4-5D6E-409C-BE32-E72D297353CC}">
              <c16:uniqueId val="{00000003-3202-435C-96CC-D4387E2E3369}"/>
            </c:ext>
          </c:extLst>
        </c:ser>
        <c:dLbls>
          <c:showLegendKey val="0"/>
          <c:showVal val="0"/>
          <c:showCatName val="0"/>
          <c:showSerName val="0"/>
          <c:showPercent val="0"/>
          <c:showBubbleSize val="0"/>
        </c:dLbls>
        <c:marker val="1"/>
        <c:smooth val="0"/>
        <c:axId val="1675242848"/>
        <c:axId val="1675221728"/>
      </c:lineChart>
      <c:catAx>
        <c:axId val="1675242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Mês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5221728"/>
        <c:crosses val="autoZero"/>
        <c:auto val="1"/>
        <c:lblAlgn val="ctr"/>
        <c:lblOffset val="100"/>
        <c:noMultiLvlLbl val="0"/>
      </c:catAx>
      <c:valAx>
        <c:axId val="167522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Vazão (m</a:t>
                </a:r>
                <a:r>
                  <a:rPr lang="pt-BR" sz="800" b="0" i="0" u="none" strike="noStrike" kern="1200" baseline="30000">
                    <a:solidFill>
                      <a:sysClr val="windowText" lastClr="000000">
                        <a:lumMod val="65000"/>
                        <a:lumOff val="35000"/>
                      </a:sysClr>
                    </a:solidFill>
                  </a:rPr>
                  <a:t>3</a:t>
                </a:r>
                <a:r>
                  <a:rPr lang="pt-BR"/>
                  <a: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52428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2880</Words>
  <Characters>16209</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Pires</dc:creator>
  <cp:keywords/>
  <dc:description/>
  <cp:lastModifiedBy>REVISOR 2</cp:lastModifiedBy>
  <cp:revision>36</cp:revision>
  <dcterms:created xsi:type="dcterms:W3CDTF">2025-06-03T10:43:00Z</dcterms:created>
  <dcterms:modified xsi:type="dcterms:W3CDTF">2025-06-03T22:01:00Z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1b4ef7da76473f959a59c1b327d7b5b92dab065fd884a12a68c4f47c1e452f52</vt:lpwstr>
  </property>
</Properties>
</file>