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8C9E08" w14:textId="77777777" w:rsidR="008953E9" w:rsidRDefault="008953E9" w:rsidP="008953E9">
      <w:pPr>
        <w:jc w:val="center"/>
        <w:rPr>
          <w:rFonts w:ascii="Times New Roman" w:hAnsi="Times New Roman" w:cs="Times New Roman"/>
          <w:sz w:val="24"/>
          <w:szCs w:val="24"/>
        </w:rPr>
      </w:pPr>
      <w:r w:rsidRPr="007F6FD8">
        <w:rPr>
          <w:rFonts w:ascii="Times New Roman" w:hAnsi="Times New Roman" w:cs="Times New Roman"/>
          <w:sz w:val="24"/>
          <w:szCs w:val="24"/>
        </w:rPr>
        <w:t xml:space="preserve">Instituto Mato-grossense do Feijão, Pulses, Colheitas Especiais e Irrigação </w:t>
      </w:r>
      <w:r>
        <w:rPr>
          <w:rFonts w:ascii="Times New Roman" w:hAnsi="Times New Roman" w:cs="Times New Roman"/>
          <w:sz w:val="24"/>
          <w:szCs w:val="24"/>
        </w:rPr>
        <w:t>(</w:t>
      </w:r>
      <w:r w:rsidRPr="007F6FD8">
        <w:rPr>
          <w:rFonts w:ascii="Times New Roman" w:hAnsi="Times New Roman" w:cs="Times New Roman"/>
          <w:sz w:val="24"/>
          <w:szCs w:val="24"/>
        </w:rPr>
        <w:t>IMAFIR-MT</w:t>
      </w:r>
      <w:r>
        <w:rPr>
          <w:rFonts w:ascii="Times New Roman" w:hAnsi="Times New Roman" w:cs="Times New Roman"/>
          <w:sz w:val="24"/>
          <w:szCs w:val="24"/>
        </w:rPr>
        <w:t>)</w:t>
      </w:r>
    </w:p>
    <w:p w14:paraId="09975B85" w14:textId="77777777" w:rsidR="008953E9" w:rsidRPr="00872D7D" w:rsidRDefault="008953E9" w:rsidP="008953E9">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de Viçosa (UFV)</w:t>
      </w:r>
    </w:p>
    <w:p w14:paraId="0E9EC327" w14:textId="77777777" w:rsidR="008953E9" w:rsidRPr="00872D7D" w:rsidRDefault="008953E9" w:rsidP="008953E9">
      <w:pPr>
        <w:jc w:val="center"/>
        <w:rPr>
          <w:rFonts w:ascii="Times New Roman" w:hAnsi="Times New Roman" w:cs="Times New Roman"/>
          <w:sz w:val="24"/>
          <w:szCs w:val="24"/>
        </w:rPr>
      </w:pPr>
      <w:r w:rsidRPr="00872D7D">
        <w:rPr>
          <w:rFonts w:ascii="Times New Roman" w:hAnsi="Times New Roman" w:cs="Times New Roman"/>
          <w:sz w:val="24"/>
          <w:szCs w:val="24"/>
        </w:rPr>
        <w:t>Universidade Federal do Rio de Janeiro (UFRJ)</w:t>
      </w:r>
    </w:p>
    <w:p w14:paraId="7BB16DBB" w14:textId="77777777" w:rsidR="008953E9" w:rsidRDefault="008953E9" w:rsidP="008953E9">
      <w:pPr>
        <w:jc w:val="center"/>
        <w:rPr>
          <w:rFonts w:ascii="Times New Roman" w:hAnsi="Times New Roman" w:cs="Times New Roman"/>
        </w:rPr>
      </w:pPr>
    </w:p>
    <w:p w14:paraId="60CB9279" w14:textId="77777777" w:rsidR="008953E9" w:rsidRDefault="008953E9" w:rsidP="008953E9">
      <w:pPr>
        <w:jc w:val="center"/>
        <w:rPr>
          <w:rFonts w:ascii="Times New Roman" w:hAnsi="Times New Roman" w:cs="Times New Roman"/>
        </w:rPr>
      </w:pPr>
    </w:p>
    <w:p w14:paraId="7CBF0964" w14:textId="77777777" w:rsidR="008953E9" w:rsidRDefault="008953E9" w:rsidP="008953E9">
      <w:pPr>
        <w:jc w:val="center"/>
        <w:rPr>
          <w:rFonts w:ascii="Times New Roman" w:hAnsi="Times New Roman" w:cs="Times New Roman"/>
        </w:rPr>
      </w:pPr>
    </w:p>
    <w:p w14:paraId="47D82E93" w14:textId="77777777" w:rsidR="008953E9" w:rsidRPr="00564EAB" w:rsidRDefault="008953E9" w:rsidP="008953E9">
      <w:pPr>
        <w:jc w:val="center"/>
        <w:rPr>
          <w:rFonts w:ascii="Times New Roman" w:hAnsi="Times New Roman" w:cs="Times New Roman"/>
        </w:rPr>
      </w:pPr>
    </w:p>
    <w:p w14:paraId="4B7F90F2" w14:textId="77777777" w:rsidR="008953E9" w:rsidRPr="00D23B55" w:rsidRDefault="008953E9" w:rsidP="008953E9">
      <w:pPr>
        <w:jc w:val="center"/>
        <w:rPr>
          <w:rFonts w:ascii="Times New Roman" w:hAnsi="Times New Roman" w:cs="Times New Roman"/>
          <w:b/>
          <w:bCs/>
          <w:sz w:val="24"/>
          <w:szCs w:val="24"/>
        </w:rPr>
      </w:pPr>
      <w:r w:rsidRPr="00D23B55">
        <w:rPr>
          <w:rFonts w:ascii="Times New Roman" w:hAnsi="Times New Roman" w:cs="Times New Roman"/>
          <w:b/>
          <w:bCs/>
          <w:sz w:val="24"/>
          <w:szCs w:val="24"/>
        </w:rPr>
        <w:t>Estudo Envolvendo Levantamento Integrado de Informações dos Recursos Hídricos Superficiais e Subterrâneos para os Polos de Agricultura Irrigada do Centro Sul e do Alto Teles Pires no Estado de Mato Grosso</w:t>
      </w:r>
    </w:p>
    <w:p w14:paraId="77E8820E" w14:textId="77777777" w:rsidR="008953E9" w:rsidRDefault="008953E9" w:rsidP="008953E9">
      <w:pPr>
        <w:rPr>
          <w:rFonts w:ascii="Times New Roman" w:hAnsi="Times New Roman" w:cs="Times New Roman"/>
        </w:rPr>
      </w:pPr>
    </w:p>
    <w:p w14:paraId="2DD253BD" w14:textId="77777777" w:rsidR="008953E9" w:rsidRDefault="008953E9" w:rsidP="008953E9">
      <w:pPr>
        <w:rPr>
          <w:rFonts w:ascii="Times New Roman" w:hAnsi="Times New Roman" w:cs="Times New Roman"/>
        </w:rPr>
      </w:pPr>
    </w:p>
    <w:p w14:paraId="78E34EDA" w14:textId="77777777" w:rsidR="008953E9" w:rsidRPr="000E3ABD" w:rsidRDefault="008953E9" w:rsidP="008953E9">
      <w:pPr>
        <w:rPr>
          <w:rFonts w:ascii="Times New Roman" w:hAnsi="Times New Roman" w:cs="Times New Roman"/>
          <w:sz w:val="24"/>
          <w:szCs w:val="24"/>
        </w:rPr>
      </w:pPr>
    </w:p>
    <w:p w14:paraId="4354EF31" w14:textId="77777777" w:rsidR="008953E9" w:rsidRDefault="008953E9" w:rsidP="008953E9">
      <w:pPr>
        <w:spacing w:after="0"/>
        <w:jc w:val="center"/>
        <w:rPr>
          <w:rFonts w:ascii="Times New Roman" w:hAnsi="Times New Roman" w:cs="Times New Roman"/>
          <w:i/>
          <w:iCs/>
          <w:sz w:val="24"/>
          <w:szCs w:val="24"/>
        </w:rPr>
      </w:pPr>
      <w:r>
        <w:rPr>
          <w:rFonts w:ascii="Times New Roman" w:hAnsi="Times New Roman" w:cs="Times New Roman"/>
          <w:i/>
          <w:iCs/>
          <w:sz w:val="24"/>
          <w:szCs w:val="24"/>
        </w:rPr>
        <w:t>RELATÓRIO FINAL</w:t>
      </w:r>
    </w:p>
    <w:p w14:paraId="2C68F727" w14:textId="0EE2D3F2" w:rsidR="008953E9" w:rsidRDefault="008953E9" w:rsidP="008953E9">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Meta </w:t>
      </w:r>
      <w:r w:rsidR="00332269">
        <w:rPr>
          <w:rFonts w:ascii="Times New Roman" w:hAnsi="Times New Roman" w:cs="Times New Roman"/>
          <w:i/>
          <w:iCs/>
          <w:sz w:val="24"/>
          <w:szCs w:val="24"/>
        </w:rPr>
        <w:t>3</w:t>
      </w:r>
      <w:r>
        <w:rPr>
          <w:rFonts w:ascii="Times New Roman" w:hAnsi="Times New Roman" w:cs="Times New Roman"/>
          <w:i/>
          <w:iCs/>
          <w:sz w:val="24"/>
          <w:szCs w:val="24"/>
        </w:rPr>
        <w:t xml:space="preserve"> – Estudo d</w:t>
      </w:r>
      <w:r w:rsidR="00A35495">
        <w:rPr>
          <w:rFonts w:ascii="Times New Roman" w:hAnsi="Times New Roman" w:cs="Times New Roman"/>
          <w:i/>
          <w:iCs/>
          <w:sz w:val="24"/>
          <w:szCs w:val="24"/>
        </w:rPr>
        <w:t>o uso/ocupação do solo e da demanda hídrica</w:t>
      </w:r>
    </w:p>
    <w:p w14:paraId="51DE7087" w14:textId="5AB5E81B" w:rsidR="008953E9" w:rsidRPr="000E3ABD" w:rsidRDefault="008953E9" w:rsidP="008953E9">
      <w:pPr>
        <w:spacing w:after="0"/>
        <w:jc w:val="center"/>
        <w:rPr>
          <w:rFonts w:ascii="Times New Roman" w:hAnsi="Times New Roman" w:cs="Times New Roman"/>
          <w:i/>
          <w:iCs/>
          <w:sz w:val="24"/>
          <w:szCs w:val="24"/>
        </w:rPr>
      </w:pPr>
      <w:r>
        <w:rPr>
          <w:rFonts w:ascii="Times New Roman" w:hAnsi="Times New Roman" w:cs="Times New Roman"/>
          <w:i/>
          <w:iCs/>
          <w:sz w:val="24"/>
          <w:szCs w:val="24"/>
        </w:rPr>
        <w:t xml:space="preserve">Atividade </w:t>
      </w:r>
      <w:r w:rsidR="00A35495">
        <w:rPr>
          <w:rFonts w:ascii="Times New Roman" w:hAnsi="Times New Roman" w:cs="Times New Roman"/>
          <w:i/>
          <w:iCs/>
          <w:sz w:val="24"/>
          <w:szCs w:val="24"/>
        </w:rPr>
        <w:t>3</w:t>
      </w:r>
      <w:r>
        <w:rPr>
          <w:rFonts w:ascii="Times New Roman" w:hAnsi="Times New Roman" w:cs="Times New Roman"/>
          <w:i/>
          <w:iCs/>
          <w:sz w:val="24"/>
          <w:szCs w:val="24"/>
        </w:rPr>
        <w:t xml:space="preserve">.1 – </w:t>
      </w:r>
      <w:r w:rsidR="00A35495">
        <w:rPr>
          <w:rFonts w:ascii="Times New Roman" w:hAnsi="Times New Roman" w:cs="Times New Roman"/>
          <w:i/>
          <w:iCs/>
          <w:sz w:val="24"/>
          <w:szCs w:val="24"/>
        </w:rPr>
        <w:t>Levantamento da área disponível para irrigação</w:t>
      </w:r>
    </w:p>
    <w:p w14:paraId="5D8FD152" w14:textId="26C9D895" w:rsidR="008953E9" w:rsidRDefault="008953E9" w:rsidP="008953E9">
      <w:pPr>
        <w:spacing w:after="0"/>
        <w:jc w:val="center"/>
        <w:rPr>
          <w:rFonts w:ascii="Times New Roman" w:hAnsi="Times New Roman" w:cs="Times New Roman"/>
          <w:i/>
          <w:iCs/>
          <w:sz w:val="24"/>
          <w:szCs w:val="24"/>
        </w:rPr>
      </w:pPr>
      <w:r>
        <w:rPr>
          <w:rFonts w:ascii="Times New Roman" w:hAnsi="Times New Roman" w:cs="Times New Roman"/>
          <w:i/>
          <w:iCs/>
          <w:sz w:val="24"/>
          <w:szCs w:val="24"/>
        </w:rPr>
        <w:t>Período de 30</w:t>
      </w:r>
      <w:r w:rsidRPr="000E3ABD">
        <w:rPr>
          <w:rFonts w:ascii="Times New Roman" w:hAnsi="Times New Roman" w:cs="Times New Roman"/>
          <w:i/>
          <w:iCs/>
          <w:sz w:val="24"/>
          <w:szCs w:val="24"/>
        </w:rPr>
        <w:t xml:space="preserve"> de </w:t>
      </w:r>
      <w:r>
        <w:rPr>
          <w:rFonts w:ascii="Times New Roman" w:hAnsi="Times New Roman" w:cs="Times New Roman"/>
          <w:i/>
          <w:iCs/>
          <w:sz w:val="24"/>
          <w:szCs w:val="24"/>
        </w:rPr>
        <w:t>agosto</w:t>
      </w:r>
      <w:r w:rsidRPr="000E3ABD">
        <w:rPr>
          <w:rFonts w:ascii="Times New Roman" w:hAnsi="Times New Roman" w:cs="Times New Roman"/>
          <w:i/>
          <w:iCs/>
          <w:sz w:val="24"/>
          <w:szCs w:val="24"/>
        </w:rPr>
        <w:t xml:space="preserve"> de 2023 a </w:t>
      </w:r>
      <w:r w:rsidR="0039002C">
        <w:rPr>
          <w:rFonts w:ascii="Times New Roman" w:hAnsi="Times New Roman" w:cs="Times New Roman"/>
          <w:i/>
          <w:iCs/>
          <w:sz w:val="24"/>
          <w:szCs w:val="24"/>
        </w:rPr>
        <w:t>30</w:t>
      </w:r>
      <w:r w:rsidRPr="000E3ABD">
        <w:rPr>
          <w:rFonts w:ascii="Times New Roman" w:hAnsi="Times New Roman" w:cs="Times New Roman"/>
          <w:i/>
          <w:iCs/>
          <w:sz w:val="24"/>
          <w:szCs w:val="24"/>
        </w:rPr>
        <w:t xml:space="preserve"> de </w:t>
      </w:r>
      <w:r w:rsidR="0039002C">
        <w:rPr>
          <w:rFonts w:ascii="Times New Roman" w:hAnsi="Times New Roman" w:cs="Times New Roman"/>
          <w:i/>
          <w:iCs/>
          <w:sz w:val="24"/>
          <w:szCs w:val="24"/>
        </w:rPr>
        <w:t>maio</w:t>
      </w:r>
      <w:r w:rsidRPr="000E3ABD">
        <w:rPr>
          <w:rFonts w:ascii="Times New Roman" w:hAnsi="Times New Roman" w:cs="Times New Roman"/>
          <w:i/>
          <w:iCs/>
          <w:sz w:val="24"/>
          <w:szCs w:val="24"/>
        </w:rPr>
        <w:t xml:space="preserve"> de 202</w:t>
      </w:r>
      <w:r>
        <w:rPr>
          <w:rFonts w:ascii="Times New Roman" w:hAnsi="Times New Roman" w:cs="Times New Roman"/>
          <w:i/>
          <w:iCs/>
          <w:sz w:val="24"/>
          <w:szCs w:val="24"/>
        </w:rPr>
        <w:t>4</w:t>
      </w:r>
    </w:p>
    <w:p w14:paraId="715E0E4D" w14:textId="77777777" w:rsidR="008953E9" w:rsidRDefault="008953E9" w:rsidP="008953E9">
      <w:pPr>
        <w:jc w:val="center"/>
        <w:rPr>
          <w:rFonts w:ascii="Times New Roman" w:hAnsi="Times New Roman" w:cs="Times New Roman"/>
          <w:i/>
          <w:iCs/>
          <w:sz w:val="24"/>
          <w:szCs w:val="24"/>
        </w:rPr>
      </w:pPr>
    </w:p>
    <w:p w14:paraId="4057A62B" w14:textId="77777777" w:rsidR="008953E9" w:rsidRDefault="008953E9" w:rsidP="008953E9">
      <w:pPr>
        <w:jc w:val="center"/>
        <w:rPr>
          <w:rFonts w:ascii="Times New Roman" w:hAnsi="Times New Roman" w:cs="Times New Roman"/>
          <w:i/>
          <w:iCs/>
          <w:sz w:val="24"/>
          <w:szCs w:val="24"/>
        </w:rPr>
      </w:pPr>
    </w:p>
    <w:p w14:paraId="7D8EA5BF" w14:textId="77777777" w:rsidR="008953E9" w:rsidRDefault="008953E9" w:rsidP="008953E9">
      <w:pPr>
        <w:jc w:val="center"/>
        <w:rPr>
          <w:rFonts w:ascii="Times New Roman" w:hAnsi="Times New Roman" w:cs="Times New Roman"/>
          <w:i/>
          <w:iCs/>
          <w:sz w:val="24"/>
          <w:szCs w:val="24"/>
        </w:rPr>
      </w:pPr>
    </w:p>
    <w:p w14:paraId="64798054" w14:textId="77777777" w:rsidR="008953E9" w:rsidRDefault="008953E9" w:rsidP="008953E9">
      <w:pPr>
        <w:jc w:val="center"/>
        <w:rPr>
          <w:rFonts w:ascii="Times New Roman" w:hAnsi="Times New Roman" w:cs="Times New Roman"/>
          <w:i/>
          <w:iCs/>
          <w:sz w:val="24"/>
          <w:szCs w:val="24"/>
        </w:rPr>
      </w:pPr>
    </w:p>
    <w:p w14:paraId="243CFEBE" w14:textId="77777777" w:rsidR="008953E9" w:rsidRDefault="008953E9" w:rsidP="008953E9">
      <w:pPr>
        <w:jc w:val="center"/>
        <w:rPr>
          <w:rFonts w:ascii="Times New Roman" w:hAnsi="Times New Roman" w:cs="Times New Roman"/>
          <w:i/>
          <w:iCs/>
          <w:sz w:val="24"/>
          <w:szCs w:val="24"/>
        </w:rPr>
      </w:pPr>
    </w:p>
    <w:p w14:paraId="53058BE6" w14:textId="77777777" w:rsidR="008953E9" w:rsidRDefault="008953E9" w:rsidP="008953E9">
      <w:pPr>
        <w:jc w:val="center"/>
        <w:rPr>
          <w:rFonts w:ascii="Times New Roman" w:hAnsi="Times New Roman" w:cs="Times New Roman"/>
          <w:i/>
          <w:iCs/>
          <w:sz w:val="24"/>
          <w:szCs w:val="24"/>
        </w:rPr>
      </w:pPr>
    </w:p>
    <w:p w14:paraId="16D4DE55" w14:textId="77777777" w:rsidR="008953E9" w:rsidRDefault="008953E9" w:rsidP="008953E9">
      <w:pPr>
        <w:jc w:val="center"/>
        <w:rPr>
          <w:rFonts w:ascii="Times New Roman" w:hAnsi="Times New Roman" w:cs="Times New Roman"/>
          <w:i/>
          <w:iCs/>
          <w:sz w:val="24"/>
          <w:szCs w:val="24"/>
        </w:rPr>
      </w:pPr>
    </w:p>
    <w:p w14:paraId="7F622C4E" w14:textId="77777777" w:rsidR="008953E9" w:rsidRPr="00284D2C" w:rsidRDefault="008953E9" w:rsidP="008953E9">
      <w:pPr>
        <w:jc w:val="center"/>
        <w:rPr>
          <w:rFonts w:ascii="Times New Roman" w:hAnsi="Times New Roman" w:cs="Times New Roman"/>
          <w:sz w:val="24"/>
          <w:szCs w:val="24"/>
        </w:rPr>
      </w:pPr>
      <w:r w:rsidRPr="00284D2C">
        <w:rPr>
          <w:rFonts w:ascii="Times New Roman" w:hAnsi="Times New Roman" w:cs="Times New Roman"/>
          <w:sz w:val="24"/>
          <w:szCs w:val="24"/>
        </w:rPr>
        <w:t>Agosto de 2024</w:t>
      </w:r>
    </w:p>
    <w:p w14:paraId="744AACD6" w14:textId="77777777" w:rsidR="008953E9" w:rsidRDefault="008953E9" w:rsidP="008953E9">
      <w:pPr>
        <w:rPr>
          <w:rFonts w:ascii="Times New Roman" w:hAnsi="Times New Roman" w:cs="Times New Roman"/>
        </w:rPr>
      </w:pPr>
    </w:p>
    <w:p w14:paraId="6FD57B5C" w14:textId="77777777" w:rsidR="008953E9" w:rsidRDefault="008953E9" w:rsidP="008953E9">
      <w:pPr>
        <w:rPr>
          <w:rFonts w:ascii="Times New Roman" w:hAnsi="Times New Roman" w:cs="Times New Roman"/>
        </w:rPr>
      </w:pPr>
    </w:p>
    <w:p w14:paraId="6BEA6EBB"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1BA6F4F2"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6F0FA8E0"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46CE85B9"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7BECD6DB"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47FB88CB" w14:textId="77777777" w:rsidR="008953E9" w:rsidRDefault="008953E9" w:rsidP="008953E9">
      <w:pPr>
        <w:pStyle w:val="PargrafodaLista"/>
        <w:spacing w:line="360" w:lineRule="auto"/>
        <w:ind w:left="142"/>
        <w:jc w:val="both"/>
        <w:rPr>
          <w:rFonts w:ascii="Times New Roman" w:hAnsi="Times New Roman" w:cs="Times New Roman"/>
          <w:b/>
          <w:bCs/>
          <w:sz w:val="24"/>
          <w:szCs w:val="24"/>
        </w:rPr>
      </w:pPr>
    </w:p>
    <w:p w14:paraId="3E9B7A7E" w14:textId="0030142F" w:rsidR="00AE2B0C" w:rsidRDefault="00AE2B0C" w:rsidP="00F30F9F">
      <w:pPr>
        <w:pStyle w:val="PargrafodaLista"/>
        <w:spacing w:line="360" w:lineRule="auto"/>
        <w:ind w:left="142"/>
        <w:jc w:val="both"/>
        <w:rPr>
          <w:rFonts w:ascii="Times New Roman" w:hAnsi="Times New Roman" w:cs="Times New Roman"/>
          <w:b/>
          <w:bCs/>
          <w:sz w:val="24"/>
          <w:szCs w:val="24"/>
        </w:rPr>
      </w:pPr>
      <w:r w:rsidRPr="00FC7263">
        <w:rPr>
          <w:rFonts w:ascii="Times New Roman" w:hAnsi="Times New Roman" w:cs="Times New Roman"/>
          <w:b/>
          <w:bCs/>
          <w:sz w:val="24"/>
          <w:szCs w:val="24"/>
        </w:rPr>
        <w:lastRenderedPageBreak/>
        <w:t>1 – Introdução</w:t>
      </w:r>
    </w:p>
    <w:p w14:paraId="27B31FE0" w14:textId="2440A145" w:rsidR="00752A37" w:rsidRDefault="00752A37" w:rsidP="00F30F9F">
      <w:pPr>
        <w:pStyle w:val="PargrafodaLista"/>
        <w:spacing w:line="360" w:lineRule="auto"/>
        <w:ind w:left="142"/>
        <w:jc w:val="both"/>
        <w:rPr>
          <w:rFonts w:ascii="Times New Roman" w:hAnsi="Times New Roman" w:cs="Times New Roman"/>
          <w:sz w:val="24"/>
          <w:szCs w:val="24"/>
        </w:rPr>
      </w:pPr>
      <w:r>
        <w:rPr>
          <w:rFonts w:ascii="Times New Roman" w:hAnsi="Times New Roman" w:cs="Times New Roman"/>
          <w:b/>
          <w:bCs/>
          <w:sz w:val="24"/>
          <w:szCs w:val="24"/>
        </w:rPr>
        <w:tab/>
      </w:r>
      <w:r w:rsidR="00D3046F" w:rsidRPr="00FD178D">
        <w:rPr>
          <w:rFonts w:ascii="Times New Roman" w:hAnsi="Times New Roman" w:cs="Times New Roman"/>
          <w:sz w:val="24"/>
          <w:szCs w:val="24"/>
        </w:rPr>
        <w:t>No Brasil</w:t>
      </w:r>
      <w:r w:rsidR="00A96BB6">
        <w:rPr>
          <w:rFonts w:ascii="Times New Roman" w:hAnsi="Times New Roman" w:cs="Times New Roman"/>
          <w:sz w:val="24"/>
          <w:szCs w:val="24"/>
        </w:rPr>
        <w:t>,</w:t>
      </w:r>
      <w:r w:rsidR="00D3046F" w:rsidRPr="00FD178D">
        <w:rPr>
          <w:rFonts w:ascii="Times New Roman" w:hAnsi="Times New Roman" w:cs="Times New Roman"/>
          <w:sz w:val="24"/>
          <w:szCs w:val="24"/>
        </w:rPr>
        <w:t xml:space="preserve"> a atividade de irrigação se iniciou </w:t>
      </w:r>
      <w:r w:rsidR="00252F39" w:rsidRPr="00FD178D">
        <w:rPr>
          <w:rFonts w:ascii="Times New Roman" w:hAnsi="Times New Roman" w:cs="Times New Roman"/>
          <w:sz w:val="24"/>
          <w:szCs w:val="24"/>
        </w:rPr>
        <w:t>no Rio Grande do Sul com o cultivo de arroz, e foi adotada em outras regiões nas décadas de 1970 e 1980</w:t>
      </w:r>
      <w:r w:rsidR="00FD178D">
        <w:rPr>
          <w:rFonts w:ascii="Times New Roman" w:hAnsi="Times New Roman" w:cs="Times New Roman"/>
          <w:sz w:val="24"/>
          <w:szCs w:val="24"/>
        </w:rPr>
        <w:t xml:space="preserve">. </w:t>
      </w:r>
      <w:r w:rsidR="00A96BB6">
        <w:rPr>
          <w:rFonts w:ascii="Times New Roman" w:hAnsi="Times New Roman" w:cs="Times New Roman"/>
          <w:sz w:val="24"/>
          <w:szCs w:val="24"/>
        </w:rPr>
        <w:t>Com o crescimento da atividade na última década novos polos de irrigação surgiram no país</w:t>
      </w:r>
      <w:r w:rsidR="00FA32C7">
        <w:rPr>
          <w:rFonts w:ascii="Times New Roman" w:hAnsi="Times New Roman" w:cs="Times New Roman"/>
          <w:sz w:val="24"/>
          <w:szCs w:val="24"/>
        </w:rPr>
        <w:t xml:space="preserve"> (ANA, 2021)</w:t>
      </w:r>
      <w:r w:rsidR="00A96BB6">
        <w:rPr>
          <w:rFonts w:ascii="Times New Roman" w:hAnsi="Times New Roman" w:cs="Times New Roman"/>
          <w:sz w:val="24"/>
          <w:szCs w:val="24"/>
        </w:rPr>
        <w:t>.</w:t>
      </w:r>
    </w:p>
    <w:p w14:paraId="2B89264E" w14:textId="267D4995" w:rsidR="00FA32C7" w:rsidRDefault="00FA32C7" w:rsidP="00F06DE0">
      <w:pPr>
        <w:pStyle w:val="PargrafodaLista"/>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A região Central do país, onde se localiza o estado do Mato Grosso,</w:t>
      </w:r>
      <w:r w:rsidR="003F7FA2">
        <w:rPr>
          <w:rFonts w:ascii="Times New Roman" w:hAnsi="Times New Roman" w:cs="Times New Roman"/>
          <w:sz w:val="24"/>
          <w:szCs w:val="24"/>
        </w:rPr>
        <w:t xml:space="preserve"> apesar de possuir uma estação chuvosa longa</w:t>
      </w:r>
      <w:r w:rsidR="00AA2422">
        <w:rPr>
          <w:rFonts w:ascii="Times New Roman" w:hAnsi="Times New Roman" w:cs="Times New Roman"/>
          <w:sz w:val="24"/>
          <w:szCs w:val="24"/>
        </w:rPr>
        <w:t xml:space="preserve">, </w:t>
      </w:r>
      <w:r w:rsidR="00C61342">
        <w:rPr>
          <w:rFonts w:ascii="Times New Roman" w:hAnsi="Times New Roman" w:cs="Times New Roman"/>
          <w:sz w:val="24"/>
          <w:szCs w:val="24"/>
        </w:rPr>
        <w:t>apresenta</w:t>
      </w:r>
      <w:r w:rsidR="00AA2422">
        <w:rPr>
          <w:rFonts w:ascii="Times New Roman" w:hAnsi="Times New Roman" w:cs="Times New Roman"/>
          <w:sz w:val="24"/>
          <w:szCs w:val="24"/>
        </w:rPr>
        <w:t xml:space="preserve"> um período de maio a setembro</w:t>
      </w:r>
      <w:r w:rsidR="00AE3ACE">
        <w:rPr>
          <w:rFonts w:ascii="Times New Roman" w:hAnsi="Times New Roman" w:cs="Times New Roman"/>
          <w:sz w:val="24"/>
          <w:szCs w:val="24"/>
        </w:rPr>
        <w:t xml:space="preserve"> onde há escassez de chuva</w:t>
      </w:r>
      <w:r w:rsidR="005716A1">
        <w:rPr>
          <w:rFonts w:ascii="Times New Roman" w:hAnsi="Times New Roman" w:cs="Times New Roman"/>
          <w:sz w:val="24"/>
          <w:szCs w:val="24"/>
        </w:rPr>
        <w:t>, sendo necessário o uso de irrigação caso ocorra plantio nesse período</w:t>
      </w:r>
      <w:r w:rsidR="002F1288">
        <w:rPr>
          <w:rFonts w:ascii="Times New Roman" w:hAnsi="Times New Roman" w:cs="Times New Roman"/>
          <w:sz w:val="24"/>
          <w:szCs w:val="24"/>
        </w:rPr>
        <w:t xml:space="preserve"> (</w:t>
      </w:r>
      <w:proofErr w:type="spellStart"/>
      <w:r w:rsidR="002F1288">
        <w:rPr>
          <w:rFonts w:ascii="Times New Roman" w:hAnsi="Times New Roman" w:cs="Times New Roman"/>
          <w:sz w:val="24"/>
          <w:szCs w:val="24"/>
        </w:rPr>
        <w:t>Arvor</w:t>
      </w:r>
      <w:proofErr w:type="spellEnd"/>
      <w:r w:rsidR="002F1288">
        <w:rPr>
          <w:rFonts w:ascii="Times New Roman" w:hAnsi="Times New Roman" w:cs="Times New Roman"/>
          <w:sz w:val="24"/>
          <w:szCs w:val="24"/>
        </w:rPr>
        <w:t xml:space="preserve"> et al., 2014, ANA, 2021)</w:t>
      </w:r>
      <w:r w:rsidR="005716A1">
        <w:rPr>
          <w:rFonts w:ascii="Times New Roman" w:hAnsi="Times New Roman" w:cs="Times New Roman"/>
          <w:sz w:val="24"/>
          <w:szCs w:val="24"/>
        </w:rPr>
        <w:t>.</w:t>
      </w:r>
      <w:r w:rsidR="00F06DE0">
        <w:rPr>
          <w:rFonts w:ascii="Times New Roman" w:hAnsi="Times New Roman" w:cs="Times New Roman"/>
          <w:sz w:val="24"/>
          <w:szCs w:val="24"/>
        </w:rPr>
        <w:t xml:space="preserve"> </w:t>
      </w:r>
    </w:p>
    <w:p w14:paraId="2C930154" w14:textId="319E71B7" w:rsidR="00912CCA" w:rsidRPr="00F06DE0" w:rsidRDefault="00912CCA" w:rsidP="00F06DE0">
      <w:pPr>
        <w:pStyle w:val="PargrafodaLista"/>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t xml:space="preserve">No estado do Mato Grosso existem </w:t>
      </w:r>
      <w:r w:rsidR="0095760E">
        <w:rPr>
          <w:rFonts w:ascii="Times New Roman" w:hAnsi="Times New Roman" w:cs="Times New Roman"/>
          <w:sz w:val="24"/>
          <w:szCs w:val="24"/>
        </w:rPr>
        <w:t>dois polos de irrigação, o do médio norte que abrange a região do Alto Teles Pires, e o do Rio das Mortes</w:t>
      </w:r>
      <w:r w:rsidR="00510204">
        <w:rPr>
          <w:rFonts w:ascii="Times New Roman" w:hAnsi="Times New Roman" w:cs="Times New Roman"/>
          <w:sz w:val="24"/>
          <w:szCs w:val="24"/>
        </w:rPr>
        <w:t>. Para que a atividade de irrigação expanda no estado há a necessidade de avaliar</w:t>
      </w:r>
      <w:r w:rsidR="00DE6DC8">
        <w:rPr>
          <w:rFonts w:ascii="Times New Roman" w:hAnsi="Times New Roman" w:cs="Times New Roman"/>
          <w:sz w:val="24"/>
          <w:szCs w:val="24"/>
        </w:rPr>
        <w:t xml:space="preserve"> </w:t>
      </w:r>
      <w:r w:rsidR="00352C3A">
        <w:rPr>
          <w:rFonts w:ascii="Times New Roman" w:hAnsi="Times New Roman" w:cs="Times New Roman"/>
          <w:sz w:val="24"/>
          <w:szCs w:val="24"/>
        </w:rPr>
        <w:t xml:space="preserve">a disponibilidade de área e as regiões em que é possível </w:t>
      </w:r>
      <w:r w:rsidR="00DF09C3">
        <w:rPr>
          <w:rFonts w:ascii="Times New Roman" w:hAnsi="Times New Roman" w:cs="Times New Roman"/>
          <w:sz w:val="24"/>
          <w:szCs w:val="24"/>
        </w:rPr>
        <w:t xml:space="preserve">expandir de acordo com critérios </w:t>
      </w:r>
      <w:r w:rsidR="00BF0538">
        <w:rPr>
          <w:rFonts w:ascii="Times New Roman" w:hAnsi="Times New Roman" w:cs="Times New Roman"/>
          <w:sz w:val="24"/>
          <w:szCs w:val="24"/>
        </w:rPr>
        <w:t>que favoreçam a instalação da tipologia de pivô central</w:t>
      </w:r>
      <w:r w:rsidR="00A12B16">
        <w:rPr>
          <w:rFonts w:ascii="Times New Roman" w:hAnsi="Times New Roman" w:cs="Times New Roman"/>
          <w:sz w:val="24"/>
          <w:szCs w:val="24"/>
        </w:rPr>
        <w:t xml:space="preserve">. Dessa forma, o objetivo dessa etapa é </w:t>
      </w:r>
      <w:r w:rsidR="00183A75">
        <w:rPr>
          <w:rFonts w:ascii="Times New Roman" w:hAnsi="Times New Roman" w:cs="Times New Roman"/>
          <w:sz w:val="24"/>
          <w:szCs w:val="24"/>
        </w:rPr>
        <w:t xml:space="preserve">identificar as áreas possíveis de expansão para a irrigação no estado do Mato Grosso e nos polos </w:t>
      </w:r>
      <w:r w:rsidR="00DA54D7">
        <w:rPr>
          <w:rFonts w:ascii="Times New Roman" w:hAnsi="Times New Roman" w:cs="Times New Roman"/>
          <w:sz w:val="24"/>
          <w:szCs w:val="24"/>
        </w:rPr>
        <w:t>de irrigação do Médio Norte e do Rio das Mortes.</w:t>
      </w:r>
    </w:p>
    <w:p w14:paraId="0369C5C3" w14:textId="0BD46E09" w:rsidR="00A96BB6" w:rsidRPr="00FD178D" w:rsidRDefault="00A96BB6" w:rsidP="00F30F9F">
      <w:pPr>
        <w:pStyle w:val="PargrafodaLista"/>
        <w:spacing w:line="360" w:lineRule="auto"/>
        <w:ind w:left="142"/>
        <w:jc w:val="both"/>
        <w:rPr>
          <w:rFonts w:ascii="Times New Roman" w:hAnsi="Times New Roman" w:cs="Times New Roman"/>
          <w:sz w:val="24"/>
          <w:szCs w:val="24"/>
        </w:rPr>
      </w:pPr>
      <w:r>
        <w:rPr>
          <w:rFonts w:ascii="Times New Roman" w:hAnsi="Times New Roman" w:cs="Times New Roman"/>
          <w:sz w:val="24"/>
          <w:szCs w:val="24"/>
        </w:rPr>
        <w:tab/>
      </w:r>
    </w:p>
    <w:p w14:paraId="2081A21C" w14:textId="74198F59" w:rsidR="00F30F9F" w:rsidRPr="00BC3C3F" w:rsidRDefault="00AE2B0C" w:rsidP="00BC3C3F">
      <w:pPr>
        <w:pStyle w:val="PargrafodaLista"/>
        <w:spacing w:line="360" w:lineRule="auto"/>
        <w:ind w:left="142"/>
        <w:jc w:val="both"/>
        <w:rPr>
          <w:rFonts w:ascii="Times New Roman" w:hAnsi="Times New Roman" w:cs="Times New Roman"/>
          <w:b/>
          <w:bCs/>
          <w:sz w:val="24"/>
          <w:szCs w:val="24"/>
        </w:rPr>
      </w:pPr>
      <w:r w:rsidRPr="00FC7263">
        <w:rPr>
          <w:rFonts w:ascii="Times New Roman" w:hAnsi="Times New Roman" w:cs="Times New Roman"/>
          <w:b/>
          <w:bCs/>
          <w:sz w:val="24"/>
          <w:szCs w:val="24"/>
        </w:rPr>
        <w:t>2 – Atividades desenvolvidas</w:t>
      </w:r>
    </w:p>
    <w:p w14:paraId="7F45F81E" w14:textId="7A569D20" w:rsidR="001B2F56" w:rsidRDefault="00992BFA" w:rsidP="00F30F9F">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levantamento da área disponível para a expansão </w:t>
      </w:r>
      <w:r w:rsidR="00EB673E">
        <w:rPr>
          <w:rFonts w:ascii="Times New Roman" w:hAnsi="Times New Roman" w:cs="Times New Roman"/>
          <w:sz w:val="24"/>
          <w:szCs w:val="24"/>
        </w:rPr>
        <w:t xml:space="preserve">sustentável </w:t>
      </w:r>
      <w:r>
        <w:rPr>
          <w:rFonts w:ascii="Times New Roman" w:hAnsi="Times New Roman" w:cs="Times New Roman"/>
          <w:sz w:val="24"/>
          <w:szCs w:val="24"/>
        </w:rPr>
        <w:t>da irrigação foi feito considerando critérios necessários para a sua implementação, como proximidade dos rios</w:t>
      </w:r>
      <w:r w:rsidR="00F30F9F">
        <w:rPr>
          <w:rFonts w:ascii="Times New Roman" w:hAnsi="Times New Roman" w:cs="Times New Roman"/>
          <w:sz w:val="24"/>
          <w:szCs w:val="24"/>
        </w:rPr>
        <w:t xml:space="preserve"> </w:t>
      </w:r>
      <w:r w:rsidR="00DB3CEF">
        <w:rPr>
          <w:rFonts w:ascii="Times New Roman" w:hAnsi="Times New Roman" w:cs="Times New Roman"/>
          <w:sz w:val="24"/>
          <w:szCs w:val="24"/>
        </w:rPr>
        <w:t>(</w:t>
      </w:r>
      <w:r w:rsidR="00F916C5">
        <w:rPr>
          <w:rFonts w:ascii="Times New Roman" w:hAnsi="Times New Roman" w:cs="Times New Roman"/>
          <w:sz w:val="24"/>
          <w:szCs w:val="24"/>
        </w:rPr>
        <w:t xml:space="preserve">considerado </w:t>
      </w:r>
      <w:r w:rsidR="00F30F9F">
        <w:rPr>
          <w:rFonts w:ascii="Times New Roman" w:hAnsi="Times New Roman" w:cs="Times New Roman"/>
          <w:sz w:val="24"/>
          <w:szCs w:val="24"/>
        </w:rPr>
        <w:t>de até 10 km</w:t>
      </w:r>
      <w:r w:rsidR="00F916C5">
        <w:rPr>
          <w:rFonts w:ascii="Times New Roman" w:hAnsi="Times New Roman" w:cs="Times New Roman"/>
          <w:sz w:val="24"/>
          <w:szCs w:val="24"/>
        </w:rPr>
        <w:t>)</w:t>
      </w:r>
      <w:r>
        <w:rPr>
          <w:rFonts w:ascii="Times New Roman" w:hAnsi="Times New Roman" w:cs="Times New Roman"/>
          <w:sz w:val="24"/>
          <w:szCs w:val="24"/>
        </w:rPr>
        <w:t xml:space="preserve">, declividade do terreno inferior à 5%, </w:t>
      </w:r>
      <w:r w:rsidR="00EB673E">
        <w:rPr>
          <w:rFonts w:ascii="Times New Roman" w:hAnsi="Times New Roman" w:cs="Times New Roman"/>
          <w:sz w:val="24"/>
          <w:szCs w:val="24"/>
        </w:rPr>
        <w:t>terra já em uso pela agropecuária e ausência de áreas protegidas (unidades de conservação, terras indígenas, área de proteção permanente e reserva legal).</w:t>
      </w:r>
      <w:r>
        <w:rPr>
          <w:rFonts w:ascii="Times New Roman" w:hAnsi="Times New Roman" w:cs="Times New Roman"/>
          <w:sz w:val="24"/>
          <w:szCs w:val="24"/>
        </w:rPr>
        <w:t xml:space="preserve"> </w:t>
      </w:r>
    </w:p>
    <w:p w14:paraId="25BF4019" w14:textId="77777777" w:rsidR="0014510B" w:rsidRPr="0063568A" w:rsidRDefault="00F30F9F" w:rsidP="0014510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14510B" w:rsidRPr="0063568A">
        <w:rPr>
          <w:rFonts w:ascii="Times New Roman" w:hAnsi="Times New Roman" w:cs="Times New Roman"/>
          <w:sz w:val="24"/>
          <w:szCs w:val="24"/>
        </w:rPr>
        <w:t xml:space="preserve">Os valores de declividade foram calculados a partir dos dados de elevação do </w:t>
      </w:r>
      <w:r w:rsidR="0014510B" w:rsidRPr="002239CD">
        <w:rPr>
          <w:rFonts w:ascii="Times New Roman" w:hAnsi="Times New Roman" w:cs="Times New Roman"/>
          <w:i/>
          <w:iCs/>
          <w:sz w:val="24"/>
          <w:szCs w:val="24"/>
        </w:rPr>
        <w:t xml:space="preserve">Shuttle Radar </w:t>
      </w:r>
      <w:proofErr w:type="spellStart"/>
      <w:r w:rsidR="0014510B" w:rsidRPr="002239CD">
        <w:rPr>
          <w:rFonts w:ascii="Times New Roman" w:hAnsi="Times New Roman" w:cs="Times New Roman"/>
          <w:i/>
          <w:iCs/>
          <w:sz w:val="24"/>
          <w:szCs w:val="24"/>
        </w:rPr>
        <w:t>Topography</w:t>
      </w:r>
      <w:proofErr w:type="spellEnd"/>
      <w:r w:rsidR="0014510B" w:rsidRPr="002239CD">
        <w:rPr>
          <w:rFonts w:ascii="Times New Roman" w:hAnsi="Times New Roman" w:cs="Times New Roman"/>
          <w:i/>
          <w:iCs/>
          <w:sz w:val="24"/>
          <w:szCs w:val="24"/>
        </w:rPr>
        <w:t xml:space="preserve"> Mission</w:t>
      </w:r>
      <w:r w:rsidR="0014510B" w:rsidRPr="002239CD">
        <w:rPr>
          <w:rFonts w:ascii="Times New Roman" w:hAnsi="Times New Roman" w:cs="Times New Roman"/>
          <w:sz w:val="24"/>
          <w:szCs w:val="24"/>
        </w:rPr>
        <w:t xml:space="preserve"> (SRTM)</w:t>
      </w:r>
      <w:r w:rsidR="0014510B">
        <w:rPr>
          <w:rFonts w:ascii="Times New Roman" w:hAnsi="Times New Roman" w:cs="Times New Roman"/>
          <w:sz w:val="24"/>
          <w:szCs w:val="24"/>
        </w:rPr>
        <w:t xml:space="preserve"> </w:t>
      </w:r>
      <w:r w:rsidR="0014510B">
        <w:rPr>
          <w:rFonts w:ascii="Times New Roman" w:hAnsi="Times New Roman" w:cs="Times New Roman"/>
          <w:sz w:val="24"/>
          <w:szCs w:val="24"/>
        </w:rPr>
        <w:fldChar w:fldCharType="begin" w:fldLock="1"/>
      </w:r>
      <w:r w:rsidR="0014510B">
        <w:rPr>
          <w:rFonts w:ascii="Times New Roman" w:hAnsi="Times New Roman" w:cs="Times New Roman"/>
          <w:sz w:val="24"/>
          <w:szCs w:val="24"/>
        </w:rPr>
        <w:instrText>ADDIN CSL_CITATION {"citationItems":[{"id":"ITEM-1","itemData":{"DOI":"10.1029/2005RG000183","ISBN":"3540425861","ISSN":"16113349","abstract":"The Shuttle Radar Topography Mission produced the most complete, highest-resolution digital elevation model of the Earth. The project was a joint endeavor of NASA, the National Geospatial-Intelligence Agency, and the German and Italian Space Agencies and flew in February 2000. It used dual radar antennas to acquire interferometric radar data, processed to digital topographic data at 1 arc sec resolution. Details of the development, flight operations, data processing, and products are provided for users of this revolutionary data set.","author":[{"dropping-particle":"","family":"Farr","given":"Tom G.","non-dropping-particle":"","parse-names":false,"suffix":""},{"dropping-particle":"","family":"Rosen","given":"Paul A.","non-dropping-particle":"","parse-names":false,"suffix":""},{"dropping-particle":"","family":"Caro","given":"Edward","non-dropping-particle":"","parse-names":false,"suffix":""},{"dropping-particle":"","family":"Crippen","given":"Robert","non-dropping-particle":"","parse-names":false,"suffix":""},{"dropping-particle":"","family":"Duren","given":"Riley","non-dropping-particle":"","parse-names":false,"suffix":""},{"dropping-particle":"","family":"Hensley","given":"Scott","non-dropping-particle":"","parse-names":false,"suffix":""},{"dropping-particle":"","family":"Kobrick","given":"Michael","non-dropping-particle":"","parse-names":false,"suffix":""},{"dropping-particle":"","family":"Paller","given":"Mimi","non-dropping-particle":"","parse-names":false,"suffix":""},{"dropping-particle":"","family":"Rodriguez","given":"Ernesto","non-dropping-particle":"","parse-names":false,"suffix":""},{"dropping-particle":"","family":"Roth","given":"Ladislav","non-dropping-particle":"","parse-names":false,"suffix":""},{"dropping-particle":"","family":"Seal","given":"David","non-dropping-particle":"","parse-names":false,"suffix":""},{"dropping-particle":"","family":"Shaffer","given":"Scott","non-dropping-particle":"","parse-names":false,"suffix":""},{"dropping-particle":"","family":"Shimada","given":"Joanne","non-dropping-particle":"","parse-names":false,"suffix":""},{"dropping-particle":"","family":"Umland","given":"Jeffrey","non-dropping-particle":"","parse-names":false,"suffix":""},{"dropping-particle":"","family":"Werner","given":"Marian","non-dropping-particle":"","parse-names":false,"suffix":""},{"dropping-particle":"","family":"Oskin","given":"Michael","non-dropping-particle":"","parse-names":false,"suffix":""},{"dropping-particle":"","family":"Burbank","given":"Douglas","non-dropping-particle":"","parse-names":false,"suffix":""},{"dropping-particle":"","family":"Alsdorf","given":"Douglas","non-dropping-particle":"","parse-names":false,"suffix":""}],"container-title":"Reviews of Geophysics","id":"ITEM-1","issued":{"date-parts":[["2007"]]},"title":"The shuttle radar topography mission","type":"article-journal"},"uris":["http://www.mendeley.com/documents/?uuid=9c3f41df-92a7-4ad1-bd2c-85e5bfc66330"]}],"mendeley":{"formattedCitation":"(Farr et al. 2007)","plainTextFormattedCitation":"(Farr et al. 2007)","previouslyFormattedCitation":"(Farr et al. 2007)"},"properties":{"noteIndex":0},"schema":"https://github.com/citation-style-language/schema/raw/master/csl-citation.json"}</w:instrText>
      </w:r>
      <w:r w:rsidR="0014510B">
        <w:rPr>
          <w:rFonts w:ascii="Times New Roman" w:hAnsi="Times New Roman" w:cs="Times New Roman"/>
          <w:sz w:val="24"/>
          <w:szCs w:val="24"/>
        </w:rPr>
        <w:fldChar w:fldCharType="separate"/>
      </w:r>
      <w:r w:rsidR="0014510B" w:rsidRPr="00A60DF0">
        <w:rPr>
          <w:rFonts w:ascii="Times New Roman" w:hAnsi="Times New Roman" w:cs="Times New Roman"/>
          <w:noProof/>
          <w:sz w:val="24"/>
          <w:szCs w:val="24"/>
        </w:rPr>
        <w:t>(Farr et al. 2007)</w:t>
      </w:r>
      <w:r w:rsidR="0014510B">
        <w:rPr>
          <w:rFonts w:ascii="Times New Roman" w:hAnsi="Times New Roman" w:cs="Times New Roman"/>
          <w:sz w:val="24"/>
          <w:szCs w:val="24"/>
        </w:rPr>
        <w:fldChar w:fldCharType="end"/>
      </w:r>
      <w:r w:rsidR="0014510B" w:rsidRPr="002239CD">
        <w:rPr>
          <w:rFonts w:ascii="Times New Roman" w:hAnsi="Times New Roman" w:cs="Times New Roman"/>
          <w:sz w:val="24"/>
          <w:szCs w:val="24"/>
        </w:rPr>
        <w:t>,</w:t>
      </w:r>
      <w:r w:rsidR="0014510B" w:rsidRPr="0063568A">
        <w:rPr>
          <w:rFonts w:ascii="Times New Roman" w:hAnsi="Times New Roman" w:cs="Times New Roman"/>
          <w:sz w:val="24"/>
          <w:szCs w:val="24"/>
        </w:rPr>
        <w:t xml:space="preserve"> disponíveis para </w:t>
      </w:r>
      <w:r w:rsidR="0014510B">
        <w:rPr>
          <w:rFonts w:ascii="Times New Roman" w:hAnsi="Times New Roman" w:cs="Times New Roman"/>
          <w:sz w:val="24"/>
          <w:szCs w:val="24"/>
        </w:rPr>
        <w:t xml:space="preserve">quase </w:t>
      </w:r>
      <w:r w:rsidR="0014510B" w:rsidRPr="0063568A">
        <w:rPr>
          <w:rFonts w:ascii="Times New Roman" w:hAnsi="Times New Roman" w:cs="Times New Roman"/>
          <w:sz w:val="24"/>
          <w:szCs w:val="24"/>
        </w:rPr>
        <w:t xml:space="preserve">todo o globo em uma resolução espacial de 30 </w:t>
      </w:r>
      <w:r w:rsidR="0014510B">
        <w:rPr>
          <w:rFonts w:ascii="Times New Roman" w:hAnsi="Times New Roman" w:cs="Times New Roman"/>
          <w:sz w:val="24"/>
          <w:szCs w:val="24"/>
        </w:rPr>
        <w:t>×</w:t>
      </w:r>
      <w:r w:rsidR="0014510B" w:rsidRPr="0063568A">
        <w:rPr>
          <w:rFonts w:ascii="Times New Roman" w:hAnsi="Times New Roman" w:cs="Times New Roman"/>
          <w:sz w:val="24"/>
          <w:szCs w:val="24"/>
        </w:rPr>
        <w:t xml:space="preserve"> 30 m. </w:t>
      </w:r>
      <w:bookmarkStart w:id="0" w:name="_Hlk152848340"/>
      <w:r w:rsidR="0014510B">
        <w:rPr>
          <w:rFonts w:ascii="Times New Roman" w:hAnsi="Times New Roman" w:cs="Times New Roman"/>
          <w:sz w:val="24"/>
          <w:szCs w:val="24"/>
        </w:rPr>
        <w:t xml:space="preserve">Os dados foram obtidos para todo o estado do Mato Grosso por meio da plataforma </w:t>
      </w:r>
      <w:r w:rsidR="0014510B" w:rsidRPr="00A60DF0">
        <w:rPr>
          <w:rFonts w:ascii="Times New Roman" w:hAnsi="Times New Roman" w:cs="Times New Roman"/>
          <w:i/>
          <w:iCs/>
          <w:sz w:val="24"/>
          <w:szCs w:val="24"/>
        </w:rPr>
        <w:t xml:space="preserve">Google Earth </w:t>
      </w:r>
      <w:proofErr w:type="spellStart"/>
      <w:r w:rsidR="0014510B" w:rsidRPr="00A60DF0">
        <w:rPr>
          <w:rFonts w:ascii="Times New Roman" w:hAnsi="Times New Roman" w:cs="Times New Roman"/>
          <w:i/>
          <w:iCs/>
          <w:sz w:val="24"/>
          <w:szCs w:val="24"/>
        </w:rPr>
        <w:t>Engine</w:t>
      </w:r>
      <w:proofErr w:type="spellEnd"/>
      <w:r w:rsidR="0014510B">
        <w:rPr>
          <w:rFonts w:ascii="Times New Roman" w:hAnsi="Times New Roman" w:cs="Times New Roman"/>
          <w:sz w:val="24"/>
          <w:szCs w:val="24"/>
        </w:rPr>
        <w:t>.</w:t>
      </w:r>
      <w:bookmarkEnd w:id="0"/>
    </w:p>
    <w:p w14:paraId="350ABC99" w14:textId="77777777" w:rsidR="0014510B" w:rsidRDefault="0014510B" w:rsidP="0014510B">
      <w:pPr>
        <w:spacing w:line="360" w:lineRule="auto"/>
        <w:jc w:val="both"/>
        <w:rPr>
          <w:rFonts w:ascii="Times New Roman" w:hAnsi="Times New Roman" w:cs="Times New Roman"/>
          <w:color w:val="222222"/>
          <w:sz w:val="24"/>
          <w:szCs w:val="24"/>
          <w:shd w:val="clear" w:color="auto" w:fill="FFFFFF"/>
        </w:rPr>
      </w:pPr>
      <w:r w:rsidRPr="0063568A">
        <w:rPr>
          <w:rFonts w:ascii="Times New Roman" w:hAnsi="Times New Roman" w:cs="Times New Roman"/>
          <w:sz w:val="24"/>
          <w:szCs w:val="24"/>
        </w:rPr>
        <w:tab/>
        <w:t>O</w:t>
      </w:r>
      <w:r>
        <w:rPr>
          <w:rFonts w:ascii="Times New Roman" w:hAnsi="Times New Roman" w:cs="Times New Roman"/>
          <w:sz w:val="24"/>
          <w:szCs w:val="24"/>
        </w:rPr>
        <w:t xml:space="preserve"> dado de</w:t>
      </w:r>
      <w:r w:rsidRPr="0063568A">
        <w:rPr>
          <w:rFonts w:ascii="Times New Roman" w:hAnsi="Times New Roman" w:cs="Times New Roman"/>
          <w:sz w:val="24"/>
          <w:szCs w:val="24"/>
        </w:rPr>
        <w:t xml:space="preserve"> uso e cobertura do solo utilizado na análise foi </w:t>
      </w:r>
      <w:r>
        <w:rPr>
          <w:rFonts w:ascii="Times New Roman" w:hAnsi="Times New Roman" w:cs="Times New Roman"/>
          <w:sz w:val="24"/>
          <w:szCs w:val="24"/>
        </w:rPr>
        <w:t xml:space="preserve">o </w:t>
      </w:r>
      <w:r w:rsidRPr="0063568A">
        <w:rPr>
          <w:rFonts w:ascii="Times New Roman" w:hAnsi="Times New Roman" w:cs="Times New Roman"/>
          <w:sz w:val="24"/>
          <w:szCs w:val="24"/>
        </w:rPr>
        <w:t>do ano de 2022</w:t>
      </w:r>
      <w:r>
        <w:rPr>
          <w:rFonts w:ascii="Times New Roman" w:hAnsi="Times New Roman" w:cs="Times New Roman"/>
          <w:sz w:val="24"/>
          <w:szCs w:val="24"/>
        </w:rPr>
        <w:t xml:space="preserve">, o qual foi obtido da coleção 8 do projeto MAPBIOMAS. O MAPBIOMAS é um projeto que mapeia a cobertura e uso do solo do Brasil de 1985 a 2022 em uma resolução espacial de 30 × 30 m, por meio de classificação pixel a pixel de imagens LANDSAT, utilizando o classificador Random Forest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{"citationItems":[{"id":"ITEM-1","itemData":{"DOI":"10.3390/RS12172735","ISSN":"20724292","abstract":"Brazil has a monitoring system to track annual forest conversion in the Amazon and most recently to monitor the Cerrado biome. However, there is still a gap of annual land use and land cover (LULC) information in all Brazilian biomes in the country. Existing countrywide efforts to map land use and land cover lack regularly updates and high spatial resolution time-series data to better understand historical land use and land cover dynamics, and the subsequent impacts in the country biomes. In this study, we described a novel approach and the results achieved by a multi-disciplinary network called MapBiomas to reconstruct annual land use and land cover information between 1985 and 2017 for Brazil, based on random forest applied to Landsat archive using Google Earth Engine. We mapped five major classes: forest, non-forest natural formation, farming, non-vegetated areas, and water. These classes were broken into two sub-classification levels leading to the most comprehensive and detailed mapping for the country at a 30 m pixel resolution. The average overall accuracy of the land use and land cover time-series, based on a stratified random sample of 75,000 pixel locations, was 89% ranging from 73 to 95% in the biomes. The 33 years of LULC change data series revealed that Brazil lost 71 Mha of natural vegetation, mostly to cattle ranching and agriculture activities. Pasture expanded by 46% from 1985 to 2017, and agriculture by 172%, mostly replacing old pasture fields. We also identified that 86 Mha of the converted native vegetation was undergoing some level of regrowth. Several applications of the MapBiomas dataset are underway, suggesting that reconstructing historical land use and land cover change maps is useful for advancing the science and to guide social, economic and environmental policy decision-making processes in Brazil.","author":[{"dropping-particle":"","family":"Souza","given":"Carlos M.","non-dropping-particle":"","parse-names":false,"suffix":""},{"dropping-particle":"","family":"Shimbo","given":"Julia Z.","non-dropping-particle":"","parse-names":false,"suffix":""},{"dropping-particle":"","family":"Rosa","given":"Marcos R.","non-dropping-particle":"","parse-names":false,"suffix":""},{"dropping-particle":"","family":"Parente","given":"Leandro L.","non-dropping-particle":"","parse-names":false,"suffix":""},{"dropping-particle":"","family":"Alencar","given":"Ane A.","non-dropping-particle":"","parse-names":false,"suffix":""},{"dropping-particle":"","family":"Rudorff","given":"Bernardo F.T.","non-dropping-particle":"","parse-names":false,"suffix":""},{"dropping-particle":"","family":"Hasenack","given":"Heinrich","non-dropping-particle":"","parse-names":false,"suffix":""},{"dropping-particle":"","family":"Matsumoto","given":"Marcelo","non-dropping-particle":"","parse-names":false,"suffix":""},{"dropping-particle":"","family":"Ferreira","given":"Laerte G.","non-dropping-particle":"","parse-names":false,"suffix":""},{"dropping-particle":"","family":"Souza-Filho","given":"Pedro W.M.","non-dropping-particle":"","parse-names":false,"suffix":""},{"dropping-particle":"","family":"Oliveira","given":"Sergio W.","non-dropping-particle":"de","parse-names":false,"suffix":""},{"dropping-particle":"","family":"Rocha","given":"Washington F.","non-dropping-particle":"","parse-names":false,"suffix":""},{"dropping-particle":"V.","family":"Fonseca","given":"Antônio","non-dropping-particle":"","parse-names":false,"suffix":""},{"dropping-particle":"","family":"Marques","given":"Camila B.","non-dropping-particle":"","parse-names":false,"suffix":""},{"dropping-particle":"","family":"Diniz","given":"Cesar G.","non-dropping-particle":"","parse-names":false,"suffix":""},{"dropping-particle":"","family":"Costa","given":"Diego","non-dropping-particle":"","parse-names":false,"suffix":""},{"dropping-particle":"","family":"Monteiro","given":"Dyeden","non-dropping-particle":"","parse-names":false,"suffix":""},{"dropping-particle":"","family":"Rosa","given":"Eduardo R.","non-dropping-particle":"","parse-names":false,"suffix":""},{"dropping-particle":"","family":"Vélez-Martin","given":"Eduardo","non-dropping-particle":"","parse-names":false,"suffix":""},{"dropping-particle":"","family":"Weber","given":"Eliseu J.","non-dropping-particle":"","parse-names":false,"suffix":""},{"dropping-particle":"","family":"Lenti","given":"Felipe E.B.","non-dropping-particle":"","parse-names":false,"suffix":""},{"dropping-particle":"","family":"Paternost","given":"Fernando F.","non-dropping-particle":"","parse-names":false,"suffix":""},{"dropping-particle":"","family":"Pareyn","given":"Frans G.C.","non-dropping-particle":"","parse-names":false,"suffix":""},{"dropping-particle":"V.","family":"Siqueira","given":"João","non-dropping-particle":"","parse-names":false,"suffix":""},{"dropping-particle":"","family":"Viera","given":"José L.","non-dropping-particle":"","parse-names":false,"suffix":""},{"dropping-particle":"","family":"Neto","given":"Luiz C.Ferreira","non-dropping-particle":"","parse-names":false,"suffix":""},{"dropping-particle":"","family":"Saraiva","given":"Marciano M.","non-dropping-particle":"","parse-names":false,"suffix":""},{"dropping-particle":"","family":"Sales","given":"Marcio H.","non-dropping-particle":"","parse-names":false,"suffix":""},{"dropping-particle":"","family":"Salgado","given":"Moises P.G.","non-dropping-particle":"","parse-names":false,"suffix":""},{"dropping-particle":"","family":"Vasconcelos","given":"Rodrigo","non-dropping-particle":"","parse-names":false,"suffix":""},{"dropping-particle":"","family":"Galano","given":"Soltan","non-dropping-particle":"","parse-names":false,"suffix":""},{"dropping-particle":"V.","family":"Mesquita","given":"Vinicius","non-dropping-particle":"","parse-names":false,"suffix":""},{"dropping-particle":"","family":"Azevedo","given":"Tasso","non-dropping-particle":"","parse-names":false,"suffix":""}],"container-title":"Remote Sensing","id":"ITEM-1","issue":"17","issued":{"date-parts":[["2020"]]},"title":"Reconstructing three decades of land use and land cover changes in brazilian biomes with landsat archive and earth engine","type":"article-journal","volume":"12"},"uris":["http://www.mendeley.com/documents/?uuid=4388a2ed-3758-4c64-acc9-1ba21af6395f"]}],"mendeley":{"formattedCitation":"(Souza et al. 2020)","plainTextFormattedCitation":"(Souza et al. 2020)","previouslyFormattedCitation":"(Souza et al. 2020)"},"properties":{"noteIndex":0},"schema":"https://github.com/citation-style-language/schema/raw/master/csl-citation.json"}</w:instrText>
      </w:r>
      <w:r>
        <w:rPr>
          <w:rFonts w:ascii="Times New Roman" w:hAnsi="Times New Roman" w:cs="Times New Roman"/>
          <w:sz w:val="24"/>
          <w:szCs w:val="24"/>
        </w:rPr>
        <w:fldChar w:fldCharType="separate"/>
      </w:r>
      <w:r w:rsidRPr="00A60DF0">
        <w:rPr>
          <w:rFonts w:ascii="Times New Roman" w:hAnsi="Times New Roman" w:cs="Times New Roman"/>
          <w:noProof/>
          <w:sz w:val="24"/>
          <w:szCs w:val="24"/>
        </w:rPr>
        <w:t>(Souza et al. 2020)</w:t>
      </w:r>
      <w:r>
        <w:rPr>
          <w:rFonts w:ascii="Times New Roman" w:hAnsi="Times New Roman" w:cs="Times New Roman"/>
          <w:sz w:val="24"/>
          <w:szCs w:val="24"/>
        </w:rPr>
        <w:fldChar w:fldCharType="end"/>
      </w:r>
      <w:r>
        <w:rPr>
          <w:rFonts w:ascii="Times New Roman" w:hAnsi="Times New Roman" w:cs="Times New Roman"/>
          <w:sz w:val="24"/>
          <w:szCs w:val="24"/>
        </w:rPr>
        <w:t>. Foram selecionadas as classes de uso do solo</w:t>
      </w:r>
      <w:r w:rsidRPr="0063568A">
        <w:rPr>
          <w:rFonts w:ascii="Times New Roman" w:hAnsi="Times New Roman" w:cs="Times New Roman"/>
          <w:sz w:val="24"/>
          <w:szCs w:val="24"/>
        </w:rPr>
        <w:t xml:space="preserve"> </w:t>
      </w:r>
      <w:r>
        <w:rPr>
          <w:rFonts w:ascii="Times New Roman" w:hAnsi="Times New Roman" w:cs="Times New Roman"/>
          <w:sz w:val="24"/>
          <w:szCs w:val="24"/>
        </w:rPr>
        <w:t xml:space="preserve">de agropecuária, vegetação nativa, áreas alagáveis e outros usos. Foi considerado como agropecuária as </w:t>
      </w:r>
      <w:r>
        <w:rPr>
          <w:rFonts w:ascii="Times New Roman" w:hAnsi="Times New Roman" w:cs="Times New Roman"/>
          <w:sz w:val="24"/>
          <w:szCs w:val="24"/>
        </w:rPr>
        <w:lastRenderedPageBreak/>
        <w:t>seguintes classes do MAPBIOMAS</w:t>
      </w:r>
      <w:r w:rsidRPr="00163F5F">
        <w:rPr>
          <w:rFonts w:ascii="Times New Roman" w:hAnsi="Times New Roman" w:cs="Times New Roman"/>
          <w:sz w:val="24"/>
          <w:szCs w:val="24"/>
        </w:rPr>
        <w:t xml:space="preserve">: </w:t>
      </w:r>
      <w:r w:rsidRPr="00163F5F">
        <w:rPr>
          <w:rFonts w:ascii="Times New Roman" w:hAnsi="Times New Roman" w:cs="Times New Roman"/>
          <w:color w:val="222222"/>
          <w:sz w:val="24"/>
          <w:szCs w:val="24"/>
          <w:shd w:val="clear" w:color="auto" w:fill="FFFFFF"/>
        </w:rPr>
        <w:t xml:space="preserve">pastagem, agricultura, agricultura temporária, soja, cana de açúcar, arroz, algodão, outras culturas temporárias, cultura perene, café, Dendê, citrus, outras culturas perenes, silvicultura e mosaico de usos. Já para vegetação nativa, foram consideradas </w:t>
      </w:r>
      <w:r>
        <w:rPr>
          <w:rFonts w:ascii="Times New Roman" w:hAnsi="Times New Roman" w:cs="Times New Roman"/>
          <w:color w:val="222222"/>
          <w:sz w:val="24"/>
          <w:szCs w:val="24"/>
          <w:shd w:val="clear" w:color="auto" w:fill="FFFFFF"/>
        </w:rPr>
        <w:t xml:space="preserve">algumas </w:t>
      </w:r>
      <w:r w:rsidRPr="00163F5F">
        <w:rPr>
          <w:rFonts w:ascii="Times New Roman" w:hAnsi="Times New Roman" w:cs="Times New Roman"/>
          <w:color w:val="222222"/>
          <w:sz w:val="24"/>
          <w:szCs w:val="24"/>
          <w:shd w:val="clear" w:color="auto" w:fill="FFFFFF"/>
        </w:rPr>
        <w:t xml:space="preserve">classes </w:t>
      </w:r>
      <w:r>
        <w:rPr>
          <w:rFonts w:ascii="Times New Roman" w:hAnsi="Times New Roman" w:cs="Times New Roman"/>
          <w:color w:val="222222"/>
          <w:sz w:val="24"/>
          <w:szCs w:val="24"/>
          <w:shd w:val="clear" w:color="auto" w:fill="FFFFFF"/>
        </w:rPr>
        <w:t>enquadradas em</w:t>
      </w:r>
      <w:r w:rsidRPr="00163F5F">
        <w:rPr>
          <w:rFonts w:ascii="Times New Roman" w:hAnsi="Times New Roman" w:cs="Times New Roman"/>
          <w:color w:val="222222"/>
          <w:sz w:val="24"/>
          <w:szCs w:val="24"/>
          <w:shd w:val="clear" w:color="auto" w:fill="FFFFFF"/>
        </w:rPr>
        <w:t xml:space="preserve"> floresta e formação natural não florestal do MAPBIOMAS, mais especificamente: formação florestal, savana, formação campestre e outras formações não florestais</w:t>
      </w:r>
      <w:r>
        <w:rPr>
          <w:rFonts w:ascii="Times New Roman" w:hAnsi="Times New Roman" w:cs="Times New Roman"/>
          <w:color w:val="222222"/>
          <w:sz w:val="24"/>
          <w:szCs w:val="24"/>
          <w:shd w:val="clear" w:color="auto" w:fill="FFFFFF"/>
        </w:rPr>
        <w:t>. Para áreas alagáveis foram consideradas as classes de mangue, floresta alagável, restinga arbórea, apicum, restinga herbácea, campo alagado e área pantanosa. Os outros usos são classes enquadradas em área não vegetada (área urbana, praias, dunas e areal, mineração e outras áreas não vegetadas), corpos d’água e afloramento rochoso do MAPBIOMAS.</w:t>
      </w:r>
    </w:p>
    <w:p w14:paraId="77F2184A" w14:textId="77777777" w:rsidR="0014510B" w:rsidRDefault="0014510B" w:rsidP="0014510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 xml:space="preserve">Foram utilizados dados de rios da Agência Nacional de Águas (ANA) para determinar as distâncias de até 10 km </w:t>
      </w:r>
      <w:proofErr w:type="gramStart"/>
      <w:r>
        <w:rPr>
          <w:rFonts w:ascii="Times New Roman" w:hAnsi="Times New Roman" w:cs="Times New Roman"/>
          <w:color w:val="222222"/>
          <w:sz w:val="24"/>
          <w:szCs w:val="24"/>
          <w:shd w:val="clear" w:color="auto" w:fill="FFFFFF"/>
        </w:rPr>
        <w:t>dos mesmos</w:t>
      </w:r>
      <w:proofErr w:type="gramEnd"/>
      <w:r>
        <w:rPr>
          <w:rFonts w:ascii="Times New Roman" w:hAnsi="Times New Roman" w:cs="Times New Roman"/>
          <w:color w:val="222222"/>
          <w:sz w:val="24"/>
          <w:szCs w:val="24"/>
          <w:shd w:val="clear" w:color="auto" w:fill="FFFFFF"/>
        </w:rPr>
        <w:t xml:space="preserve">. Para essa análise foram considerados rios com comprimento superior à 10 km. </w:t>
      </w:r>
    </w:p>
    <w:p w14:paraId="1D9ABF81" w14:textId="77777777" w:rsidR="0014510B" w:rsidRDefault="0014510B" w:rsidP="0014510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 xml:space="preserve">A análise levou em consideração as áreas protegidas no estado do Mato Grosso. Os dados de reserva legal (RL) e área de preservação permanente (APP) foram obtidos do cadastro ambiental rural (CAR) (www.car.gov.br), já os dados de unidades de conservação (UC) e terras indígenas (TI) foram obtidos da plataforma </w:t>
      </w:r>
      <w:proofErr w:type="spellStart"/>
      <w:r>
        <w:rPr>
          <w:rFonts w:ascii="Times New Roman" w:hAnsi="Times New Roman" w:cs="Times New Roman"/>
          <w:color w:val="222222"/>
          <w:sz w:val="24"/>
          <w:szCs w:val="24"/>
          <w:shd w:val="clear" w:color="auto" w:fill="FFFFFF"/>
        </w:rPr>
        <w:t>Terrabrasilis</w:t>
      </w:r>
      <w:proofErr w:type="spellEnd"/>
      <w:r>
        <w:rPr>
          <w:rFonts w:ascii="Times New Roman" w:hAnsi="Times New Roman" w:cs="Times New Roman"/>
          <w:color w:val="222222"/>
          <w:sz w:val="24"/>
          <w:szCs w:val="24"/>
          <w:shd w:val="clear" w:color="auto" w:fill="FFFFFF"/>
        </w:rPr>
        <w:t xml:space="preserve"> (www.terrabrasilis.dpi.inpe.br). </w:t>
      </w:r>
    </w:p>
    <w:p w14:paraId="36526C24" w14:textId="335F473A" w:rsidR="0014510B" w:rsidRDefault="0014510B" w:rsidP="0014510B">
      <w:pPr>
        <w:spacing w:line="360" w:lineRule="auto"/>
        <w:ind w:firstLine="7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Todos os dados utilizados para a seleção de áreas aptas podem ser visualizados separadamente na figura 1.</w:t>
      </w:r>
    </w:p>
    <w:p w14:paraId="5AF51ACF" w14:textId="77777777" w:rsidR="0014510B" w:rsidRDefault="0014510B" w:rsidP="0014510B">
      <w:pPr>
        <w:spacing w:line="360" w:lineRule="auto"/>
        <w:jc w:val="center"/>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423D187C" wp14:editId="3CE12CCE">
            <wp:extent cx="5579745" cy="3944620"/>
            <wp:effectExtent l="0" t="0" r="1905" b="0"/>
            <wp:docPr id="30880481" name="Picture 1" descr="A map of different colors and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80481" name="Picture 1" descr="A map of different colors and shapes&#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79745" cy="3944620"/>
                    </a:xfrm>
                    <a:prstGeom prst="rect">
                      <a:avLst/>
                    </a:prstGeom>
                  </pic:spPr>
                </pic:pic>
              </a:graphicData>
            </a:graphic>
          </wp:inline>
        </w:drawing>
      </w:r>
    </w:p>
    <w:p w14:paraId="0812546A" w14:textId="486E37B3" w:rsidR="0014510B" w:rsidRDefault="0014510B" w:rsidP="0014510B">
      <w:pPr>
        <w:spacing w:line="360" w:lineRule="auto"/>
        <w:jc w:val="center"/>
        <w:rPr>
          <w:rFonts w:ascii="Times New Roman" w:hAnsi="Times New Roman" w:cs="Times New Roman"/>
          <w:color w:val="222222"/>
          <w:shd w:val="clear" w:color="auto" w:fill="FFFFFF"/>
        </w:rPr>
      </w:pPr>
      <w:r w:rsidRPr="006071D1">
        <w:rPr>
          <w:rFonts w:ascii="Times New Roman" w:hAnsi="Times New Roman" w:cs="Times New Roman"/>
          <w:b/>
          <w:bCs/>
          <w:color w:val="222222"/>
          <w:shd w:val="clear" w:color="auto" w:fill="FFFFFF"/>
        </w:rPr>
        <w:t xml:space="preserve">Figura </w:t>
      </w:r>
      <w:r>
        <w:rPr>
          <w:rFonts w:ascii="Times New Roman" w:hAnsi="Times New Roman" w:cs="Times New Roman"/>
          <w:b/>
          <w:bCs/>
          <w:color w:val="222222"/>
          <w:shd w:val="clear" w:color="auto" w:fill="FFFFFF"/>
        </w:rPr>
        <w:t>1</w:t>
      </w:r>
      <w:r w:rsidRPr="006071D1">
        <w:rPr>
          <w:rFonts w:ascii="Times New Roman" w:hAnsi="Times New Roman" w:cs="Times New Roman"/>
          <w:color w:val="222222"/>
          <w:shd w:val="clear" w:color="auto" w:fill="FFFFFF"/>
        </w:rPr>
        <w:t xml:space="preserve"> – Dados utilizados para a seleção das áreas aptas para agricultura.</w:t>
      </w:r>
    </w:p>
    <w:p w14:paraId="5FBF1848" w14:textId="21B407CA" w:rsidR="0014510B" w:rsidRDefault="0014510B" w:rsidP="00452778">
      <w:pPr>
        <w:spacing w:line="360" w:lineRule="auto"/>
        <w:ind w:firstLine="7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 seleção das áreas aptas para a agricultura seguiu o fluxograma abaixo (Figura 2), chegando à quatro possíveis classificações: restrita ou área alagável, apta e já em uso pela agropecuária, </w:t>
      </w:r>
      <w:proofErr w:type="gramStart"/>
      <w:r>
        <w:rPr>
          <w:rFonts w:ascii="Times New Roman" w:hAnsi="Times New Roman" w:cs="Times New Roman"/>
          <w:color w:val="222222"/>
          <w:sz w:val="24"/>
          <w:szCs w:val="24"/>
          <w:shd w:val="clear" w:color="auto" w:fill="FFFFFF"/>
        </w:rPr>
        <w:t>apta</w:t>
      </w:r>
      <w:proofErr w:type="gramEnd"/>
      <w:r>
        <w:rPr>
          <w:rFonts w:ascii="Times New Roman" w:hAnsi="Times New Roman" w:cs="Times New Roman"/>
          <w:color w:val="222222"/>
          <w:sz w:val="24"/>
          <w:szCs w:val="24"/>
          <w:shd w:val="clear" w:color="auto" w:fill="FFFFFF"/>
        </w:rPr>
        <w:t xml:space="preserve"> mas com vegetação nativa e inapta. As áreas restritas ou alagáveis são áreas classificadas como RL, APP, UC, TI, mangue, floresta alagável, restinga arbórea, apicum, restinga herbácea ou campo alagado e área pantanosa, não podendo haver expansão agropecuária nessas áreas. As áreas aptas são áreas com declividade inferior à 5% e distante até 10 km de rios, podendo já estar em uso pela agropecuária (apta e já em uso pela agropecuária) ou estar com vegetação nativa (</w:t>
      </w:r>
      <w:proofErr w:type="gramStart"/>
      <w:r>
        <w:rPr>
          <w:rFonts w:ascii="Times New Roman" w:hAnsi="Times New Roman" w:cs="Times New Roman"/>
          <w:color w:val="222222"/>
          <w:sz w:val="24"/>
          <w:szCs w:val="24"/>
          <w:shd w:val="clear" w:color="auto" w:fill="FFFFFF"/>
        </w:rPr>
        <w:t>apta</w:t>
      </w:r>
      <w:proofErr w:type="gramEnd"/>
      <w:r>
        <w:rPr>
          <w:rFonts w:ascii="Times New Roman" w:hAnsi="Times New Roman" w:cs="Times New Roman"/>
          <w:color w:val="222222"/>
          <w:sz w:val="24"/>
          <w:szCs w:val="24"/>
          <w:shd w:val="clear" w:color="auto" w:fill="FFFFFF"/>
        </w:rPr>
        <w:t xml:space="preserve"> mas com vegetação nativa). É importante ressaltar que para que a expansão da agricultura irrigada seja sustentável, é necessário que esta ocorra em áreas que já estejam em uso pela agropecuária. As áreas que não atendem a esses critérios de declividade e distância de rio ou que possuem outros usos do solo, como corpos d’água e áreas não vegetadas, são classificadas como inapta.</w:t>
      </w:r>
    </w:p>
    <w:p w14:paraId="170FA4CE" w14:textId="77777777" w:rsidR="0014510B" w:rsidRDefault="0014510B" w:rsidP="0014510B">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noProof/>
          <w:color w:val="222222"/>
          <w:sz w:val="24"/>
          <w:szCs w:val="24"/>
          <w:shd w:val="clear" w:color="auto" w:fill="FFFFFF"/>
        </w:rPr>
        <w:lastRenderedPageBreak/>
        <w:drawing>
          <wp:inline distT="0" distB="0" distL="0" distR="0" wp14:anchorId="786FB4A4" wp14:editId="7071EBCA">
            <wp:extent cx="5579745" cy="4592320"/>
            <wp:effectExtent l="0" t="0" r="1905" b="0"/>
            <wp:docPr id="638695798" name="Picture 2"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695798" name="Picture 2" descr="A diagram of a company&#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579745" cy="4592320"/>
                    </a:xfrm>
                    <a:prstGeom prst="rect">
                      <a:avLst/>
                    </a:prstGeom>
                  </pic:spPr>
                </pic:pic>
              </a:graphicData>
            </a:graphic>
          </wp:inline>
        </w:drawing>
      </w:r>
    </w:p>
    <w:p w14:paraId="4E323D8A" w14:textId="6B0A0E1D" w:rsidR="0014510B" w:rsidRDefault="0014510B" w:rsidP="0014510B">
      <w:pPr>
        <w:spacing w:line="360" w:lineRule="auto"/>
        <w:jc w:val="center"/>
        <w:rPr>
          <w:rFonts w:ascii="Times New Roman" w:hAnsi="Times New Roman" w:cs="Times New Roman"/>
          <w:color w:val="222222"/>
          <w:shd w:val="clear" w:color="auto" w:fill="FFFFFF"/>
        </w:rPr>
      </w:pPr>
      <w:r w:rsidRPr="00F50CD6">
        <w:rPr>
          <w:rFonts w:ascii="Times New Roman" w:hAnsi="Times New Roman" w:cs="Times New Roman"/>
          <w:b/>
          <w:bCs/>
          <w:color w:val="222222"/>
          <w:shd w:val="clear" w:color="auto" w:fill="FFFFFF"/>
        </w:rPr>
        <w:t>Figura 2</w:t>
      </w:r>
      <w:r w:rsidRPr="00F50CD6">
        <w:rPr>
          <w:rFonts w:ascii="Times New Roman" w:hAnsi="Times New Roman" w:cs="Times New Roman"/>
          <w:color w:val="222222"/>
          <w:shd w:val="clear" w:color="auto" w:fill="FFFFFF"/>
        </w:rPr>
        <w:t xml:space="preserve"> – Fluxograma para definição das áreas </w:t>
      </w:r>
      <w:r>
        <w:rPr>
          <w:rFonts w:ascii="Times New Roman" w:hAnsi="Times New Roman" w:cs="Times New Roman"/>
          <w:color w:val="222222"/>
          <w:shd w:val="clear" w:color="auto" w:fill="FFFFFF"/>
        </w:rPr>
        <w:t>de aptidão agrícola</w:t>
      </w:r>
      <w:r w:rsidRPr="00F50CD6">
        <w:rPr>
          <w:rFonts w:ascii="Times New Roman" w:hAnsi="Times New Roman" w:cs="Times New Roman"/>
          <w:color w:val="222222"/>
          <w:shd w:val="clear" w:color="auto" w:fill="FFFFFF"/>
        </w:rPr>
        <w:t>.</w:t>
      </w:r>
    </w:p>
    <w:p w14:paraId="0F919710" w14:textId="77777777" w:rsidR="00D00E70" w:rsidRDefault="00D00E70" w:rsidP="0014510B">
      <w:pPr>
        <w:spacing w:line="360" w:lineRule="auto"/>
        <w:jc w:val="center"/>
        <w:rPr>
          <w:rFonts w:ascii="Times New Roman" w:hAnsi="Times New Roman" w:cs="Times New Roman"/>
          <w:color w:val="222222"/>
          <w:shd w:val="clear" w:color="auto" w:fill="FFFFFF"/>
        </w:rPr>
      </w:pPr>
    </w:p>
    <w:p w14:paraId="166C7CF1" w14:textId="703FAC0A" w:rsidR="0035130C" w:rsidRPr="00FC7263" w:rsidRDefault="0035130C" w:rsidP="0035130C">
      <w:pPr>
        <w:pStyle w:val="PargrafodaLista"/>
        <w:spacing w:line="360" w:lineRule="auto"/>
        <w:ind w:left="142"/>
        <w:jc w:val="both"/>
        <w:rPr>
          <w:rFonts w:ascii="Times New Roman" w:hAnsi="Times New Roman" w:cs="Times New Roman"/>
          <w:b/>
          <w:bCs/>
          <w:sz w:val="24"/>
          <w:szCs w:val="24"/>
        </w:rPr>
      </w:pPr>
      <w:r w:rsidRPr="00FC7263">
        <w:rPr>
          <w:rFonts w:ascii="Times New Roman" w:hAnsi="Times New Roman" w:cs="Times New Roman"/>
          <w:b/>
          <w:bCs/>
          <w:sz w:val="24"/>
          <w:szCs w:val="24"/>
        </w:rPr>
        <w:t xml:space="preserve">3 – </w:t>
      </w:r>
      <w:r>
        <w:rPr>
          <w:rFonts w:ascii="Times New Roman" w:hAnsi="Times New Roman" w:cs="Times New Roman"/>
          <w:b/>
          <w:bCs/>
          <w:sz w:val="24"/>
          <w:szCs w:val="24"/>
        </w:rPr>
        <w:t>R</w:t>
      </w:r>
      <w:r w:rsidRPr="00FC7263">
        <w:rPr>
          <w:rFonts w:ascii="Times New Roman" w:hAnsi="Times New Roman" w:cs="Times New Roman"/>
          <w:b/>
          <w:bCs/>
          <w:sz w:val="24"/>
          <w:szCs w:val="24"/>
        </w:rPr>
        <w:t>esultados</w:t>
      </w:r>
    </w:p>
    <w:p w14:paraId="18D05688" w14:textId="6C951D91" w:rsidR="00D00E70" w:rsidRDefault="00D00E70" w:rsidP="00D00E70">
      <w:pPr>
        <w:spacing w:line="360" w:lineRule="auto"/>
        <w:ind w:firstLine="708"/>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De acordo com os critérios estabelecidos para a seleção de áreas aptas para a agricultura, o estado do Mato Grosso possui 18,03 Mha de áreas que são aptas e já estão em uso pela agropecuária (Tabela 1). As áreas restritas ou alagáveis equivalem a 48,96 Mha, enquanto as áreas </w:t>
      </w:r>
      <w:proofErr w:type="gramStart"/>
      <w:r>
        <w:rPr>
          <w:rFonts w:ascii="Times New Roman" w:hAnsi="Times New Roman" w:cs="Times New Roman"/>
          <w:color w:val="222222"/>
          <w:sz w:val="24"/>
          <w:szCs w:val="24"/>
          <w:shd w:val="clear" w:color="auto" w:fill="FFFFFF"/>
        </w:rPr>
        <w:t>aptas</w:t>
      </w:r>
      <w:proofErr w:type="gramEnd"/>
      <w:r>
        <w:rPr>
          <w:rFonts w:ascii="Times New Roman" w:hAnsi="Times New Roman" w:cs="Times New Roman"/>
          <w:color w:val="222222"/>
          <w:sz w:val="24"/>
          <w:szCs w:val="24"/>
          <w:shd w:val="clear" w:color="auto" w:fill="FFFFFF"/>
        </w:rPr>
        <w:t xml:space="preserve"> mas com vegetação nativa e as áreas inaptas equivalem a 5,47 Mha e 17,99 Mha, respectivamente (Tabela 1).</w:t>
      </w:r>
    </w:p>
    <w:p w14:paraId="0B9466F7" w14:textId="6788769E" w:rsidR="00D00E70" w:rsidRDefault="00D00E70" w:rsidP="00D00E70">
      <w:pPr>
        <w:spacing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ab/>
        <w:t>A distribuição dessas classes de aptidão agrícola, em uma resolução espacial de 30 × 30 m, ao longo do estado do Mato Grosso está demonstrada na figura 3.</w:t>
      </w:r>
    </w:p>
    <w:p w14:paraId="4CDCCD0C" w14:textId="77777777" w:rsidR="00D00E70" w:rsidRDefault="00D00E70" w:rsidP="00D00E70">
      <w:pPr>
        <w:spacing w:line="360" w:lineRule="auto"/>
        <w:jc w:val="both"/>
        <w:rPr>
          <w:sz w:val="24"/>
          <w:szCs w:val="24"/>
        </w:rPr>
      </w:pPr>
      <w:r>
        <w:rPr>
          <w:noProof/>
          <w:sz w:val="24"/>
          <w:szCs w:val="24"/>
        </w:rPr>
        <w:lastRenderedPageBreak/>
        <w:drawing>
          <wp:inline distT="0" distB="0" distL="0" distR="0" wp14:anchorId="789BBF85" wp14:editId="0A0F4B87">
            <wp:extent cx="5579745" cy="3944620"/>
            <wp:effectExtent l="0" t="0" r="1905" b="0"/>
            <wp:docPr id="1863745660" name="Picture 3"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745660" name="Picture 3" descr="A map of the united stat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79745" cy="3944620"/>
                    </a:xfrm>
                    <a:prstGeom prst="rect">
                      <a:avLst/>
                    </a:prstGeom>
                  </pic:spPr>
                </pic:pic>
              </a:graphicData>
            </a:graphic>
          </wp:inline>
        </w:drawing>
      </w:r>
    </w:p>
    <w:p w14:paraId="4DB3268A" w14:textId="786812A7" w:rsidR="00D00E70" w:rsidRDefault="00D00E70" w:rsidP="00D00E70">
      <w:pPr>
        <w:spacing w:line="360" w:lineRule="auto"/>
        <w:jc w:val="center"/>
        <w:rPr>
          <w:rFonts w:ascii="Times New Roman" w:hAnsi="Times New Roman" w:cs="Times New Roman"/>
          <w:color w:val="222222"/>
          <w:shd w:val="clear" w:color="auto" w:fill="FFFFFF"/>
        </w:rPr>
      </w:pPr>
      <w:r w:rsidRPr="00F50CD6">
        <w:rPr>
          <w:rFonts w:ascii="Times New Roman" w:hAnsi="Times New Roman" w:cs="Times New Roman"/>
          <w:b/>
          <w:bCs/>
          <w:color w:val="222222"/>
          <w:shd w:val="clear" w:color="auto" w:fill="FFFFFF"/>
        </w:rPr>
        <w:t xml:space="preserve">Figura </w:t>
      </w:r>
      <w:r>
        <w:rPr>
          <w:rFonts w:ascii="Times New Roman" w:hAnsi="Times New Roman" w:cs="Times New Roman"/>
          <w:b/>
          <w:bCs/>
          <w:color w:val="222222"/>
          <w:shd w:val="clear" w:color="auto" w:fill="FFFFFF"/>
        </w:rPr>
        <w:t>3</w:t>
      </w:r>
      <w:r w:rsidRPr="00F50CD6">
        <w:rPr>
          <w:rFonts w:ascii="Times New Roman" w:hAnsi="Times New Roman" w:cs="Times New Roman"/>
          <w:color w:val="222222"/>
          <w:shd w:val="clear" w:color="auto" w:fill="FFFFFF"/>
        </w:rPr>
        <w:t xml:space="preserve"> – </w:t>
      </w:r>
      <w:r>
        <w:rPr>
          <w:rFonts w:ascii="Times New Roman" w:hAnsi="Times New Roman" w:cs="Times New Roman"/>
          <w:color w:val="222222"/>
          <w:shd w:val="clear" w:color="auto" w:fill="FFFFFF"/>
        </w:rPr>
        <w:t>Classificação de aptidão agrícola para o estado do Mato Grosso.</w:t>
      </w:r>
    </w:p>
    <w:p w14:paraId="6CDA6C86" w14:textId="77777777" w:rsidR="00D00E70" w:rsidRPr="006C15D1" w:rsidRDefault="00D00E70" w:rsidP="00D00E70">
      <w:pPr>
        <w:spacing w:line="360" w:lineRule="auto"/>
        <w:jc w:val="center"/>
        <w:rPr>
          <w:rFonts w:ascii="Times New Roman" w:hAnsi="Times New Roman" w:cs="Times New Roman"/>
          <w:color w:val="222222"/>
          <w:shd w:val="clear" w:color="auto" w:fill="FFFFFF"/>
        </w:rPr>
      </w:pPr>
    </w:p>
    <w:p w14:paraId="12823C34" w14:textId="080C707E" w:rsidR="00D00E70" w:rsidRPr="00B974D7" w:rsidRDefault="00D00E70" w:rsidP="00D00E70">
      <w:pPr>
        <w:spacing w:after="0" w:line="360" w:lineRule="auto"/>
        <w:jc w:val="both"/>
        <w:rPr>
          <w:rFonts w:ascii="Times New Roman" w:hAnsi="Times New Roman" w:cs="Times New Roman"/>
        </w:rPr>
      </w:pPr>
      <w:r w:rsidRPr="00B974D7">
        <w:rPr>
          <w:rFonts w:ascii="Times New Roman" w:hAnsi="Times New Roman" w:cs="Times New Roman"/>
          <w:b/>
          <w:bCs/>
        </w:rPr>
        <w:t>Tabela 1</w:t>
      </w:r>
      <w:r w:rsidRPr="00B974D7">
        <w:rPr>
          <w:rFonts w:ascii="Times New Roman" w:hAnsi="Times New Roman" w:cs="Times New Roman"/>
        </w:rPr>
        <w:t xml:space="preserve"> – Áreas d</w:t>
      </w:r>
      <w:r>
        <w:rPr>
          <w:rFonts w:ascii="Times New Roman" w:hAnsi="Times New Roman" w:cs="Times New Roman"/>
        </w:rPr>
        <w:t xml:space="preserve">as classes de aptidão agrícola para </w:t>
      </w:r>
      <w:r w:rsidR="00CA6DB5">
        <w:rPr>
          <w:rFonts w:ascii="Times New Roman" w:hAnsi="Times New Roman" w:cs="Times New Roman"/>
        </w:rPr>
        <w:t xml:space="preserve">irrigação </w:t>
      </w:r>
      <w:r w:rsidR="00F83AC3">
        <w:rPr>
          <w:rFonts w:ascii="Times New Roman" w:hAnsi="Times New Roman" w:cs="Times New Roman"/>
        </w:rPr>
        <w:t xml:space="preserve">para </w:t>
      </w:r>
      <w:r>
        <w:rPr>
          <w:rFonts w:ascii="Times New Roman" w:hAnsi="Times New Roman" w:cs="Times New Roman"/>
        </w:rPr>
        <w:t>o estado do Mato Grosso</w:t>
      </w: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670"/>
        <w:gridCol w:w="2824"/>
      </w:tblGrid>
      <w:tr w:rsidR="00D00E70" w:rsidRPr="00232C46" w14:paraId="242F51F2" w14:textId="77777777" w:rsidTr="00F83AC3">
        <w:trPr>
          <w:jc w:val="center"/>
        </w:trPr>
        <w:tc>
          <w:tcPr>
            <w:tcW w:w="5670" w:type="dxa"/>
          </w:tcPr>
          <w:p w14:paraId="294C638B" w14:textId="77777777" w:rsidR="00D00E70" w:rsidRPr="00232C46" w:rsidRDefault="00D00E70" w:rsidP="00B66DA3">
            <w:pPr>
              <w:spacing w:line="360" w:lineRule="auto"/>
              <w:jc w:val="center"/>
              <w:rPr>
                <w:rFonts w:ascii="Times New Roman" w:hAnsi="Times New Roman" w:cs="Times New Roman"/>
                <w:b/>
                <w:bCs/>
                <w:sz w:val="24"/>
                <w:szCs w:val="24"/>
              </w:rPr>
            </w:pPr>
            <w:r w:rsidRPr="00232C46">
              <w:rPr>
                <w:rFonts w:ascii="Times New Roman" w:hAnsi="Times New Roman" w:cs="Times New Roman"/>
                <w:b/>
                <w:bCs/>
                <w:sz w:val="24"/>
                <w:szCs w:val="24"/>
              </w:rPr>
              <w:t>Classes</w:t>
            </w:r>
          </w:p>
        </w:tc>
        <w:tc>
          <w:tcPr>
            <w:tcW w:w="2824" w:type="dxa"/>
          </w:tcPr>
          <w:p w14:paraId="72939E5D" w14:textId="77777777" w:rsidR="00D00E70" w:rsidRPr="00232C46" w:rsidRDefault="00D00E70" w:rsidP="00B66DA3">
            <w:pPr>
              <w:spacing w:line="360" w:lineRule="auto"/>
              <w:jc w:val="center"/>
              <w:rPr>
                <w:rFonts w:ascii="Times New Roman" w:hAnsi="Times New Roman" w:cs="Times New Roman"/>
                <w:b/>
                <w:bCs/>
                <w:sz w:val="24"/>
                <w:szCs w:val="24"/>
              </w:rPr>
            </w:pPr>
            <w:r w:rsidRPr="00232C46">
              <w:rPr>
                <w:rFonts w:ascii="Times New Roman" w:hAnsi="Times New Roman" w:cs="Times New Roman"/>
                <w:b/>
                <w:bCs/>
                <w:sz w:val="24"/>
                <w:szCs w:val="24"/>
              </w:rPr>
              <w:t>Área (Mha)</w:t>
            </w:r>
          </w:p>
        </w:tc>
      </w:tr>
      <w:tr w:rsidR="00D00E70" w:rsidRPr="00232C46" w14:paraId="7DFC107B" w14:textId="77777777" w:rsidTr="00F83AC3">
        <w:trPr>
          <w:jc w:val="center"/>
        </w:trPr>
        <w:tc>
          <w:tcPr>
            <w:tcW w:w="5670" w:type="dxa"/>
          </w:tcPr>
          <w:p w14:paraId="466763A4"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Restrita ou área alagável</w:t>
            </w:r>
          </w:p>
        </w:tc>
        <w:tc>
          <w:tcPr>
            <w:tcW w:w="2824" w:type="dxa"/>
          </w:tcPr>
          <w:p w14:paraId="0766634C"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48,96</w:t>
            </w:r>
          </w:p>
        </w:tc>
      </w:tr>
      <w:tr w:rsidR="00D00E70" w:rsidRPr="00232C46" w14:paraId="44CC7842" w14:textId="77777777" w:rsidTr="00F83AC3">
        <w:trPr>
          <w:jc w:val="center"/>
        </w:trPr>
        <w:tc>
          <w:tcPr>
            <w:tcW w:w="5670" w:type="dxa"/>
          </w:tcPr>
          <w:p w14:paraId="4A112F86" w14:textId="3068AFFA"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Apta</w:t>
            </w:r>
            <w:r w:rsidR="00F83AC3">
              <w:rPr>
                <w:rFonts w:ascii="Times New Roman" w:hAnsi="Times New Roman" w:cs="Times New Roman"/>
                <w:sz w:val="24"/>
                <w:szCs w:val="24"/>
              </w:rPr>
              <w:t xml:space="preserve"> para irrigação</w:t>
            </w:r>
            <w:r>
              <w:rPr>
                <w:rFonts w:ascii="Times New Roman" w:hAnsi="Times New Roman" w:cs="Times New Roman"/>
                <w:sz w:val="24"/>
                <w:szCs w:val="24"/>
              </w:rPr>
              <w:t xml:space="preserve"> e já em uso pela agropecuária</w:t>
            </w:r>
          </w:p>
        </w:tc>
        <w:tc>
          <w:tcPr>
            <w:tcW w:w="2824" w:type="dxa"/>
          </w:tcPr>
          <w:p w14:paraId="105916CD"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18,03</w:t>
            </w:r>
          </w:p>
        </w:tc>
      </w:tr>
      <w:tr w:rsidR="00D00E70" w:rsidRPr="00232C46" w14:paraId="0E29FC14" w14:textId="77777777" w:rsidTr="00F83AC3">
        <w:trPr>
          <w:jc w:val="center"/>
        </w:trPr>
        <w:tc>
          <w:tcPr>
            <w:tcW w:w="5670" w:type="dxa"/>
          </w:tcPr>
          <w:p w14:paraId="732E683F" w14:textId="5D9F043B"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Apta</w:t>
            </w:r>
            <w:r w:rsidR="00F83AC3">
              <w:rPr>
                <w:rFonts w:ascii="Times New Roman" w:hAnsi="Times New Roman" w:cs="Times New Roman"/>
                <w:sz w:val="24"/>
                <w:szCs w:val="24"/>
              </w:rPr>
              <w:t xml:space="preserve"> para </w:t>
            </w:r>
            <w:proofErr w:type="gramStart"/>
            <w:r w:rsidR="00F83AC3">
              <w:rPr>
                <w:rFonts w:ascii="Times New Roman" w:hAnsi="Times New Roman" w:cs="Times New Roman"/>
                <w:sz w:val="24"/>
                <w:szCs w:val="24"/>
              </w:rPr>
              <w:t xml:space="preserve">irrigação </w:t>
            </w:r>
            <w:r>
              <w:rPr>
                <w:rFonts w:ascii="Times New Roman" w:hAnsi="Times New Roman" w:cs="Times New Roman"/>
                <w:sz w:val="24"/>
                <w:szCs w:val="24"/>
              </w:rPr>
              <w:t xml:space="preserve"> mas</w:t>
            </w:r>
            <w:proofErr w:type="gramEnd"/>
            <w:r>
              <w:rPr>
                <w:rFonts w:ascii="Times New Roman" w:hAnsi="Times New Roman" w:cs="Times New Roman"/>
                <w:sz w:val="24"/>
                <w:szCs w:val="24"/>
              </w:rPr>
              <w:t xml:space="preserve"> com vegetação nativa</w:t>
            </w:r>
          </w:p>
        </w:tc>
        <w:tc>
          <w:tcPr>
            <w:tcW w:w="2824" w:type="dxa"/>
          </w:tcPr>
          <w:p w14:paraId="566224C8"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5,47</w:t>
            </w:r>
          </w:p>
        </w:tc>
      </w:tr>
      <w:tr w:rsidR="00D00E70" w:rsidRPr="00232C46" w14:paraId="7D992E8D" w14:textId="77777777" w:rsidTr="00F83AC3">
        <w:trPr>
          <w:jc w:val="center"/>
        </w:trPr>
        <w:tc>
          <w:tcPr>
            <w:tcW w:w="5670" w:type="dxa"/>
          </w:tcPr>
          <w:p w14:paraId="7BB8428F"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Inapta</w:t>
            </w:r>
          </w:p>
        </w:tc>
        <w:tc>
          <w:tcPr>
            <w:tcW w:w="2824" w:type="dxa"/>
          </w:tcPr>
          <w:p w14:paraId="66DE6A19" w14:textId="77777777" w:rsidR="00D00E70" w:rsidRPr="00232C46" w:rsidRDefault="00D00E70" w:rsidP="00B66DA3">
            <w:pPr>
              <w:spacing w:line="360" w:lineRule="auto"/>
              <w:jc w:val="center"/>
              <w:rPr>
                <w:rFonts w:ascii="Times New Roman" w:hAnsi="Times New Roman" w:cs="Times New Roman"/>
                <w:sz w:val="24"/>
                <w:szCs w:val="24"/>
              </w:rPr>
            </w:pPr>
            <w:r>
              <w:rPr>
                <w:rFonts w:ascii="Times New Roman" w:hAnsi="Times New Roman" w:cs="Times New Roman"/>
                <w:sz w:val="24"/>
                <w:szCs w:val="24"/>
              </w:rPr>
              <w:t>17,99</w:t>
            </w:r>
          </w:p>
        </w:tc>
      </w:tr>
    </w:tbl>
    <w:p w14:paraId="7092A4A4" w14:textId="54B16BA3" w:rsidR="00F30F9F" w:rsidRDefault="00F30F9F" w:rsidP="00F30F9F">
      <w:pPr>
        <w:spacing w:line="360" w:lineRule="auto"/>
        <w:jc w:val="both"/>
        <w:rPr>
          <w:rFonts w:ascii="Times New Roman" w:hAnsi="Times New Roman" w:cs="Times New Roman"/>
          <w:b/>
          <w:bCs/>
          <w:sz w:val="24"/>
          <w:szCs w:val="24"/>
        </w:rPr>
      </w:pPr>
    </w:p>
    <w:p w14:paraId="5EB1E524" w14:textId="75FBA815" w:rsidR="006619F2" w:rsidRPr="00554F8A" w:rsidRDefault="006619F2" w:rsidP="00F30F9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ab/>
      </w:r>
      <w:r w:rsidRPr="00554F8A">
        <w:rPr>
          <w:rFonts w:ascii="Times New Roman" w:hAnsi="Times New Roman" w:cs="Times New Roman"/>
          <w:sz w:val="24"/>
          <w:szCs w:val="24"/>
        </w:rPr>
        <w:t>Para os polos de irrigação</w:t>
      </w:r>
      <w:r w:rsidR="00D268BC">
        <w:rPr>
          <w:rFonts w:ascii="Times New Roman" w:hAnsi="Times New Roman" w:cs="Times New Roman"/>
          <w:sz w:val="24"/>
          <w:szCs w:val="24"/>
        </w:rPr>
        <w:t>,</w:t>
      </w:r>
      <w:r w:rsidR="00554F8A">
        <w:rPr>
          <w:rFonts w:ascii="Times New Roman" w:hAnsi="Times New Roman" w:cs="Times New Roman"/>
          <w:sz w:val="24"/>
          <w:szCs w:val="24"/>
        </w:rPr>
        <w:t xml:space="preserve"> a área restrita</w:t>
      </w:r>
      <w:r w:rsidR="004D079B">
        <w:rPr>
          <w:rFonts w:ascii="Times New Roman" w:hAnsi="Times New Roman" w:cs="Times New Roman"/>
          <w:sz w:val="24"/>
          <w:szCs w:val="24"/>
        </w:rPr>
        <w:t xml:space="preserve"> ou alagável</w:t>
      </w:r>
      <w:r w:rsidR="00554F8A">
        <w:rPr>
          <w:rFonts w:ascii="Times New Roman" w:hAnsi="Times New Roman" w:cs="Times New Roman"/>
          <w:sz w:val="24"/>
          <w:szCs w:val="24"/>
        </w:rPr>
        <w:t xml:space="preserve"> equivale </w:t>
      </w:r>
      <w:r w:rsidR="00EC462A">
        <w:rPr>
          <w:rFonts w:ascii="Times New Roman" w:hAnsi="Times New Roman" w:cs="Times New Roman"/>
          <w:sz w:val="24"/>
          <w:szCs w:val="24"/>
        </w:rPr>
        <w:t>a</w:t>
      </w:r>
      <w:r w:rsidR="00554F8A">
        <w:rPr>
          <w:rFonts w:ascii="Times New Roman" w:hAnsi="Times New Roman" w:cs="Times New Roman"/>
          <w:sz w:val="24"/>
          <w:szCs w:val="24"/>
        </w:rPr>
        <w:t xml:space="preserve"> cerca de </w:t>
      </w:r>
      <w:r w:rsidR="004D079B">
        <w:rPr>
          <w:rFonts w:ascii="Times New Roman" w:hAnsi="Times New Roman" w:cs="Times New Roman"/>
          <w:sz w:val="24"/>
          <w:szCs w:val="24"/>
        </w:rPr>
        <w:t>2,77 Mha e 6,25 Mha para o Rio das Mortes e Médio Norte, respectivamente.</w:t>
      </w:r>
      <w:r w:rsidR="006016AF">
        <w:rPr>
          <w:rFonts w:ascii="Times New Roman" w:hAnsi="Times New Roman" w:cs="Times New Roman"/>
          <w:sz w:val="24"/>
          <w:szCs w:val="24"/>
        </w:rPr>
        <w:t xml:space="preserve"> Já as áreas aptas </w:t>
      </w:r>
      <w:r w:rsidR="00AF0502">
        <w:rPr>
          <w:rFonts w:ascii="Times New Roman" w:hAnsi="Times New Roman" w:cs="Times New Roman"/>
          <w:sz w:val="24"/>
          <w:szCs w:val="24"/>
        </w:rPr>
        <w:t xml:space="preserve">para irrigação </w:t>
      </w:r>
      <w:r w:rsidR="006016AF">
        <w:rPr>
          <w:rFonts w:ascii="Times New Roman" w:hAnsi="Times New Roman" w:cs="Times New Roman"/>
          <w:sz w:val="24"/>
          <w:szCs w:val="24"/>
        </w:rPr>
        <w:t>e já em uso pela agropecuária</w:t>
      </w:r>
      <w:r w:rsidR="00A9711D">
        <w:rPr>
          <w:rFonts w:ascii="Times New Roman" w:hAnsi="Times New Roman" w:cs="Times New Roman"/>
          <w:sz w:val="24"/>
          <w:szCs w:val="24"/>
        </w:rPr>
        <w:t xml:space="preserve"> correspondem a cerca de 1,77 Mha e 3,17 Mha </w:t>
      </w:r>
      <w:r w:rsidR="00ED323B">
        <w:rPr>
          <w:rFonts w:ascii="Times New Roman" w:hAnsi="Times New Roman" w:cs="Times New Roman"/>
          <w:sz w:val="24"/>
          <w:szCs w:val="24"/>
        </w:rPr>
        <w:t>para o Rio das Mortes e Médio Norte, respectivamente.</w:t>
      </w:r>
      <w:r w:rsidR="006E1280">
        <w:rPr>
          <w:rFonts w:ascii="Times New Roman" w:hAnsi="Times New Roman" w:cs="Times New Roman"/>
          <w:sz w:val="24"/>
          <w:szCs w:val="24"/>
        </w:rPr>
        <w:t xml:space="preserve"> As áreas aptas </w:t>
      </w:r>
      <w:r w:rsidR="00AF0502">
        <w:rPr>
          <w:rFonts w:ascii="Times New Roman" w:hAnsi="Times New Roman" w:cs="Times New Roman"/>
          <w:sz w:val="24"/>
          <w:szCs w:val="24"/>
        </w:rPr>
        <w:t xml:space="preserve">para </w:t>
      </w:r>
      <w:proofErr w:type="gramStart"/>
      <w:r w:rsidR="00AF0502">
        <w:rPr>
          <w:rFonts w:ascii="Times New Roman" w:hAnsi="Times New Roman" w:cs="Times New Roman"/>
          <w:sz w:val="24"/>
          <w:szCs w:val="24"/>
        </w:rPr>
        <w:t>irrigação</w:t>
      </w:r>
      <w:proofErr w:type="gramEnd"/>
      <w:r w:rsidR="00AF0502">
        <w:rPr>
          <w:rFonts w:ascii="Times New Roman" w:hAnsi="Times New Roman" w:cs="Times New Roman"/>
          <w:sz w:val="24"/>
          <w:szCs w:val="24"/>
        </w:rPr>
        <w:t xml:space="preserve"> </w:t>
      </w:r>
      <w:r w:rsidR="006E1280">
        <w:rPr>
          <w:rFonts w:ascii="Times New Roman" w:hAnsi="Times New Roman" w:cs="Times New Roman"/>
          <w:sz w:val="24"/>
          <w:szCs w:val="24"/>
        </w:rPr>
        <w:t>mas com vegetação nativa equivalem cerca de 0,31 Mha e 0,63 Mha para o Rio das Mortes e o Médio Norte</w:t>
      </w:r>
      <w:r w:rsidR="000F7AD6">
        <w:rPr>
          <w:rFonts w:ascii="Times New Roman" w:hAnsi="Times New Roman" w:cs="Times New Roman"/>
          <w:sz w:val="24"/>
          <w:szCs w:val="24"/>
        </w:rPr>
        <w:t>.</w:t>
      </w:r>
      <w:r w:rsidR="00C12913">
        <w:rPr>
          <w:rFonts w:ascii="Times New Roman" w:hAnsi="Times New Roman" w:cs="Times New Roman"/>
          <w:sz w:val="24"/>
          <w:szCs w:val="24"/>
        </w:rPr>
        <w:t xml:space="preserve"> E por fim,</w:t>
      </w:r>
      <w:r w:rsidR="000F7AD6">
        <w:rPr>
          <w:rFonts w:ascii="Times New Roman" w:hAnsi="Times New Roman" w:cs="Times New Roman"/>
          <w:sz w:val="24"/>
          <w:szCs w:val="24"/>
        </w:rPr>
        <w:t xml:space="preserve"> </w:t>
      </w:r>
      <w:r w:rsidR="00C12913">
        <w:rPr>
          <w:rFonts w:ascii="Times New Roman" w:hAnsi="Times New Roman" w:cs="Times New Roman"/>
          <w:sz w:val="24"/>
          <w:szCs w:val="24"/>
        </w:rPr>
        <w:t>a</w:t>
      </w:r>
      <w:r w:rsidR="000F7AD6">
        <w:rPr>
          <w:rFonts w:ascii="Times New Roman" w:hAnsi="Times New Roman" w:cs="Times New Roman"/>
          <w:sz w:val="24"/>
          <w:szCs w:val="24"/>
        </w:rPr>
        <w:t xml:space="preserve">s áreas inaptas correspondem a cerca de 1,29 Mha e 2,46 Mha para o Rio das Mortes e </w:t>
      </w:r>
      <w:r w:rsidR="00474676">
        <w:rPr>
          <w:rFonts w:ascii="Times New Roman" w:hAnsi="Times New Roman" w:cs="Times New Roman"/>
          <w:sz w:val="24"/>
          <w:szCs w:val="24"/>
        </w:rPr>
        <w:t>o Médio Norte, respectivamente (Tabela 2).</w:t>
      </w:r>
      <w:r w:rsidR="00DB232D">
        <w:rPr>
          <w:rFonts w:ascii="Times New Roman" w:hAnsi="Times New Roman" w:cs="Times New Roman"/>
          <w:sz w:val="24"/>
          <w:szCs w:val="24"/>
        </w:rPr>
        <w:t xml:space="preserve"> A distribuição espacial das classes de aptidão agrícola está demonstrada na Figura 4.</w:t>
      </w:r>
    </w:p>
    <w:p w14:paraId="025DC5B3" w14:textId="65C9F48C" w:rsidR="00D353AD" w:rsidRDefault="00D353AD" w:rsidP="00F30F9F">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0FB7873D" wp14:editId="289D5C2D">
            <wp:extent cx="5400040" cy="3818255"/>
            <wp:effectExtent l="0" t="0" r="0" b="0"/>
            <wp:docPr id="1119430590" name="Picture 2" descr="A map of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30590" name="Picture 2" descr="A map of different colored area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3818255"/>
                    </a:xfrm>
                    <a:prstGeom prst="rect">
                      <a:avLst/>
                    </a:prstGeom>
                  </pic:spPr>
                </pic:pic>
              </a:graphicData>
            </a:graphic>
          </wp:inline>
        </w:drawing>
      </w:r>
    </w:p>
    <w:p w14:paraId="3DAF6E12" w14:textId="19F83549" w:rsidR="00417F43" w:rsidRDefault="00417F43" w:rsidP="00417F43">
      <w:pPr>
        <w:spacing w:line="360" w:lineRule="auto"/>
        <w:jc w:val="center"/>
        <w:rPr>
          <w:rFonts w:ascii="Times New Roman" w:hAnsi="Times New Roman" w:cs="Times New Roman"/>
          <w:color w:val="222222"/>
          <w:shd w:val="clear" w:color="auto" w:fill="FFFFFF"/>
        </w:rPr>
      </w:pPr>
      <w:r w:rsidRPr="00F50CD6">
        <w:rPr>
          <w:rFonts w:ascii="Times New Roman" w:hAnsi="Times New Roman" w:cs="Times New Roman"/>
          <w:b/>
          <w:bCs/>
          <w:color w:val="222222"/>
          <w:shd w:val="clear" w:color="auto" w:fill="FFFFFF"/>
        </w:rPr>
        <w:t xml:space="preserve">Figura </w:t>
      </w:r>
      <w:r>
        <w:rPr>
          <w:rFonts w:ascii="Times New Roman" w:hAnsi="Times New Roman" w:cs="Times New Roman"/>
          <w:b/>
          <w:bCs/>
          <w:color w:val="222222"/>
          <w:shd w:val="clear" w:color="auto" w:fill="FFFFFF"/>
        </w:rPr>
        <w:t>4</w:t>
      </w:r>
      <w:r w:rsidRPr="00F50CD6">
        <w:rPr>
          <w:rFonts w:ascii="Times New Roman" w:hAnsi="Times New Roman" w:cs="Times New Roman"/>
          <w:color w:val="222222"/>
          <w:shd w:val="clear" w:color="auto" w:fill="FFFFFF"/>
        </w:rPr>
        <w:t xml:space="preserve"> – </w:t>
      </w:r>
      <w:r>
        <w:rPr>
          <w:rFonts w:ascii="Times New Roman" w:hAnsi="Times New Roman" w:cs="Times New Roman"/>
          <w:color w:val="222222"/>
          <w:shd w:val="clear" w:color="auto" w:fill="FFFFFF"/>
        </w:rPr>
        <w:t>Classificação de aptidão agrícola para os polos de irrigação.</w:t>
      </w:r>
    </w:p>
    <w:p w14:paraId="1C75DF35" w14:textId="77777777" w:rsidR="00960E0D" w:rsidRDefault="00960E0D" w:rsidP="00F30F9F">
      <w:pPr>
        <w:spacing w:line="360" w:lineRule="auto"/>
        <w:jc w:val="both"/>
        <w:rPr>
          <w:rFonts w:ascii="Times New Roman" w:hAnsi="Times New Roman" w:cs="Times New Roman"/>
          <w:b/>
          <w:bCs/>
          <w:sz w:val="24"/>
          <w:szCs w:val="24"/>
        </w:rPr>
      </w:pPr>
    </w:p>
    <w:p w14:paraId="7026912B" w14:textId="26F54F5F" w:rsidR="00960E0D" w:rsidRPr="00B974D7" w:rsidRDefault="00960E0D" w:rsidP="00960E0D">
      <w:pPr>
        <w:spacing w:after="0" w:line="360" w:lineRule="auto"/>
        <w:jc w:val="both"/>
        <w:rPr>
          <w:rFonts w:ascii="Times New Roman" w:hAnsi="Times New Roman" w:cs="Times New Roman"/>
        </w:rPr>
      </w:pPr>
      <w:r w:rsidRPr="00B974D7">
        <w:rPr>
          <w:rFonts w:ascii="Times New Roman" w:hAnsi="Times New Roman" w:cs="Times New Roman"/>
          <w:b/>
          <w:bCs/>
        </w:rPr>
        <w:t xml:space="preserve">Tabela </w:t>
      </w:r>
      <w:r>
        <w:rPr>
          <w:rFonts w:ascii="Times New Roman" w:hAnsi="Times New Roman" w:cs="Times New Roman"/>
          <w:b/>
          <w:bCs/>
        </w:rPr>
        <w:t>2</w:t>
      </w:r>
      <w:r w:rsidRPr="00B974D7">
        <w:rPr>
          <w:rFonts w:ascii="Times New Roman" w:hAnsi="Times New Roman" w:cs="Times New Roman"/>
        </w:rPr>
        <w:t xml:space="preserve"> – Áreas d</w:t>
      </w:r>
      <w:r>
        <w:rPr>
          <w:rFonts w:ascii="Times New Roman" w:hAnsi="Times New Roman" w:cs="Times New Roman"/>
        </w:rPr>
        <w:t>as classes de aptidão agrícola para os polos de irrigação do Médio Norte e do Rio das Mortes</w:t>
      </w:r>
    </w:p>
    <w:tbl>
      <w:tblPr>
        <w:tblStyle w:val="Tabelacomgrade"/>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5103"/>
        <w:gridCol w:w="1843"/>
        <w:gridCol w:w="1548"/>
      </w:tblGrid>
      <w:tr w:rsidR="00960E0D" w:rsidRPr="00232C46" w14:paraId="016CB393" w14:textId="77777777" w:rsidTr="00002E21">
        <w:trPr>
          <w:jc w:val="center"/>
        </w:trPr>
        <w:tc>
          <w:tcPr>
            <w:tcW w:w="5103" w:type="dxa"/>
          </w:tcPr>
          <w:p w14:paraId="129C0A12" w14:textId="77777777" w:rsidR="00960E0D" w:rsidRPr="00232C46" w:rsidRDefault="00960E0D" w:rsidP="00C00DB7">
            <w:pPr>
              <w:spacing w:line="360" w:lineRule="auto"/>
              <w:jc w:val="center"/>
              <w:rPr>
                <w:rFonts w:ascii="Times New Roman" w:hAnsi="Times New Roman" w:cs="Times New Roman"/>
                <w:b/>
                <w:bCs/>
                <w:sz w:val="24"/>
                <w:szCs w:val="24"/>
              </w:rPr>
            </w:pPr>
            <w:r w:rsidRPr="00232C46">
              <w:rPr>
                <w:rFonts w:ascii="Times New Roman" w:hAnsi="Times New Roman" w:cs="Times New Roman"/>
                <w:b/>
                <w:bCs/>
                <w:sz w:val="24"/>
                <w:szCs w:val="24"/>
              </w:rPr>
              <w:t>Classes</w:t>
            </w:r>
          </w:p>
        </w:tc>
        <w:tc>
          <w:tcPr>
            <w:tcW w:w="3391" w:type="dxa"/>
            <w:gridSpan w:val="2"/>
          </w:tcPr>
          <w:p w14:paraId="073B1A4D" w14:textId="77777777" w:rsidR="00960E0D" w:rsidRPr="00232C46" w:rsidRDefault="00960E0D" w:rsidP="00C00DB7">
            <w:pPr>
              <w:spacing w:line="360" w:lineRule="auto"/>
              <w:jc w:val="center"/>
              <w:rPr>
                <w:rFonts w:ascii="Times New Roman" w:hAnsi="Times New Roman" w:cs="Times New Roman"/>
                <w:b/>
                <w:bCs/>
                <w:sz w:val="24"/>
                <w:szCs w:val="24"/>
              </w:rPr>
            </w:pPr>
            <w:r w:rsidRPr="00232C46">
              <w:rPr>
                <w:rFonts w:ascii="Times New Roman" w:hAnsi="Times New Roman" w:cs="Times New Roman"/>
                <w:b/>
                <w:bCs/>
                <w:sz w:val="24"/>
                <w:szCs w:val="24"/>
              </w:rPr>
              <w:t>Área (Mha)</w:t>
            </w:r>
          </w:p>
        </w:tc>
      </w:tr>
      <w:tr w:rsidR="00960E0D" w:rsidRPr="00232C46" w14:paraId="212CA028" w14:textId="77777777" w:rsidTr="00002E21">
        <w:trPr>
          <w:jc w:val="center"/>
        </w:trPr>
        <w:tc>
          <w:tcPr>
            <w:tcW w:w="5103" w:type="dxa"/>
          </w:tcPr>
          <w:p w14:paraId="69D4ECC4" w14:textId="77777777" w:rsidR="00960E0D" w:rsidRDefault="00960E0D" w:rsidP="00C00DB7">
            <w:pPr>
              <w:spacing w:line="360" w:lineRule="auto"/>
              <w:jc w:val="center"/>
              <w:rPr>
                <w:rFonts w:ascii="Times New Roman" w:hAnsi="Times New Roman" w:cs="Times New Roman"/>
                <w:sz w:val="24"/>
                <w:szCs w:val="24"/>
              </w:rPr>
            </w:pPr>
          </w:p>
        </w:tc>
        <w:tc>
          <w:tcPr>
            <w:tcW w:w="1843" w:type="dxa"/>
          </w:tcPr>
          <w:p w14:paraId="21386DFF" w14:textId="3DBED4DC" w:rsidR="00960E0D" w:rsidRPr="00960E0D" w:rsidRDefault="00960E0D" w:rsidP="00C00DB7">
            <w:pPr>
              <w:spacing w:line="360" w:lineRule="auto"/>
              <w:jc w:val="center"/>
              <w:rPr>
                <w:rFonts w:ascii="Times New Roman" w:hAnsi="Times New Roman" w:cs="Times New Roman"/>
                <w:b/>
                <w:bCs/>
                <w:sz w:val="24"/>
                <w:szCs w:val="24"/>
              </w:rPr>
            </w:pPr>
            <w:r w:rsidRPr="00960E0D">
              <w:rPr>
                <w:rFonts w:ascii="Times New Roman" w:hAnsi="Times New Roman" w:cs="Times New Roman"/>
                <w:b/>
                <w:bCs/>
                <w:sz w:val="24"/>
                <w:szCs w:val="24"/>
              </w:rPr>
              <w:t>Rio das Mortes</w:t>
            </w:r>
          </w:p>
        </w:tc>
        <w:tc>
          <w:tcPr>
            <w:tcW w:w="1548" w:type="dxa"/>
          </w:tcPr>
          <w:p w14:paraId="288C15CA" w14:textId="71A3B473" w:rsidR="00960E0D" w:rsidRPr="00960E0D" w:rsidRDefault="00960E0D" w:rsidP="00C00DB7">
            <w:pPr>
              <w:spacing w:line="360" w:lineRule="auto"/>
              <w:jc w:val="center"/>
              <w:rPr>
                <w:rFonts w:ascii="Times New Roman" w:hAnsi="Times New Roman" w:cs="Times New Roman"/>
                <w:b/>
                <w:bCs/>
                <w:sz w:val="24"/>
                <w:szCs w:val="24"/>
              </w:rPr>
            </w:pPr>
            <w:r w:rsidRPr="00960E0D">
              <w:rPr>
                <w:rFonts w:ascii="Times New Roman" w:hAnsi="Times New Roman" w:cs="Times New Roman"/>
                <w:b/>
                <w:bCs/>
                <w:sz w:val="24"/>
                <w:szCs w:val="24"/>
              </w:rPr>
              <w:t>Médio Norte</w:t>
            </w:r>
          </w:p>
        </w:tc>
      </w:tr>
      <w:tr w:rsidR="00960E0D" w:rsidRPr="00232C46" w14:paraId="7B8CC776" w14:textId="77777777" w:rsidTr="00002E21">
        <w:trPr>
          <w:jc w:val="center"/>
        </w:trPr>
        <w:tc>
          <w:tcPr>
            <w:tcW w:w="5103" w:type="dxa"/>
          </w:tcPr>
          <w:p w14:paraId="4231B956" w14:textId="77777777" w:rsidR="00960E0D" w:rsidRPr="00232C46" w:rsidRDefault="00960E0D"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Restrita ou área alagável</w:t>
            </w:r>
          </w:p>
        </w:tc>
        <w:tc>
          <w:tcPr>
            <w:tcW w:w="1843" w:type="dxa"/>
          </w:tcPr>
          <w:p w14:paraId="69DB0A53" w14:textId="2C2B7AE7" w:rsidR="00960E0D" w:rsidRPr="00232C46" w:rsidRDefault="00B926E4"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2,77</w:t>
            </w:r>
          </w:p>
        </w:tc>
        <w:tc>
          <w:tcPr>
            <w:tcW w:w="1548" w:type="dxa"/>
          </w:tcPr>
          <w:p w14:paraId="089FF528" w14:textId="33BAB148" w:rsidR="00960E0D" w:rsidRPr="00232C46" w:rsidRDefault="00B07C32"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DE4177">
              <w:rPr>
                <w:rFonts w:ascii="Times New Roman" w:hAnsi="Times New Roman" w:cs="Times New Roman"/>
                <w:sz w:val="24"/>
                <w:szCs w:val="24"/>
              </w:rPr>
              <w:t>,</w:t>
            </w:r>
            <w:r>
              <w:rPr>
                <w:rFonts w:ascii="Times New Roman" w:hAnsi="Times New Roman" w:cs="Times New Roman"/>
                <w:sz w:val="24"/>
                <w:szCs w:val="24"/>
              </w:rPr>
              <w:t>2</w:t>
            </w:r>
            <w:r w:rsidR="00DE4177">
              <w:rPr>
                <w:rFonts w:ascii="Times New Roman" w:hAnsi="Times New Roman" w:cs="Times New Roman"/>
                <w:sz w:val="24"/>
                <w:szCs w:val="24"/>
              </w:rPr>
              <w:t>5</w:t>
            </w:r>
          </w:p>
        </w:tc>
      </w:tr>
      <w:tr w:rsidR="00960E0D" w:rsidRPr="00232C46" w14:paraId="52D0B1DD" w14:textId="77777777" w:rsidTr="00002E21">
        <w:trPr>
          <w:jc w:val="center"/>
        </w:trPr>
        <w:tc>
          <w:tcPr>
            <w:tcW w:w="5103" w:type="dxa"/>
          </w:tcPr>
          <w:p w14:paraId="62CCE217" w14:textId="2B0EC883" w:rsidR="00960E0D" w:rsidRPr="00232C46" w:rsidRDefault="00960E0D"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Apta </w:t>
            </w:r>
            <w:r w:rsidR="00002E21">
              <w:rPr>
                <w:rFonts w:ascii="Times New Roman" w:hAnsi="Times New Roman" w:cs="Times New Roman"/>
                <w:sz w:val="24"/>
                <w:szCs w:val="24"/>
              </w:rPr>
              <w:t xml:space="preserve">para irrigação </w:t>
            </w:r>
            <w:r>
              <w:rPr>
                <w:rFonts w:ascii="Times New Roman" w:hAnsi="Times New Roman" w:cs="Times New Roman"/>
                <w:sz w:val="24"/>
                <w:szCs w:val="24"/>
              </w:rPr>
              <w:t>e já em uso pela agropecuária</w:t>
            </w:r>
          </w:p>
        </w:tc>
        <w:tc>
          <w:tcPr>
            <w:tcW w:w="1843" w:type="dxa"/>
          </w:tcPr>
          <w:p w14:paraId="1DEB478C" w14:textId="04F3817F" w:rsidR="00960E0D" w:rsidRPr="00232C46" w:rsidRDefault="00D42135"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1,77</w:t>
            </w:r>
          </w:p>
        </w:tc>
        <w:tc>
          <w:tcPr>
            <w:tcW w:w="1548" w:type="dxa"/>
          </w:tcPr>
          <w:p w14:paraId="690A7FAB" w14:textId="3ACC8B4E" w:rsidR="00960E0D" w:rsidRPr="00232C46" w:rsidRDefault="00CF47B7"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DE4177">
              <w:rPr>
                <w:rFonts w:ascii="Times New Roman" w:hAnsi="Times New Roman" w:cs="Times New Roman"/>
                <w:sz w:val="24"/>
                <w:szCs w:val="24"/>
              </w:rPr>
              <w:t>,</w:t>
            </w:r>
            <w:r>
              <w:rPr>
                <w:rFonts w:ascii="Times New Roman" w:hAnsi="Times New Roman" w:cs="Times New Roman"/>
                <w:sz w:val="24"/>
                <w:szCs w:val="24"/>
              </w:rPr>
              <w:t>17</w:t>
            </w:r>
          </w:p>
        </w:tc>
      </w:tr>
      <w:tr w:rsidR="00960E0D" w:rsidRPr="00232C46" w14:paraId="6DCDE4F9" w14:textId="77777777" w:rsidTr="00002E21">
        <w:trPr>
          <w:jc w:val="center"/>
        </w:trPr>
        <w:tc>
          <w:tcPr>
            <w:tcW w:w="5103" w:type="dxa"/>
          </w:tcPr>
          <w:p w14:paraId="2B4456F5" w14:textId="5EA5F7B2" w:rsidR="00960E0D" w:rsidRPr="00232C46" w:rsidRDefault="00960E0D"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Apta </w:t>
            </w:r>
            <w:r w:rsidR="00002E21">
              <w:rPr>
                <w:rFonts w:ascii="Times New Roman" w:hAnsi="Times New Roman" w:cs="Times New Roman"/>
                <w:sz w:val="24"/>
                <w:szCs w:val="24"/>
              </w:rPr>
              <w:t xml:space="preserve">para </w:t>
            </w:r>
            <w:proofErr w:type="gramStart"/>
            <w:r w:rsidR="00002E21">
              <w:rPr>
                <w:rFonts w:ascii="Times New Roman" w:hAnsi="Times New Roman" w:cs="Times New Roman"/>
                <w:sz w:val="24"/>
                <w:szCs w:val="24"/>
              </w:rPr>
              <w:t>irrigação</w:t>
            </w:r>
            <w:proofErr w:type="gramEnd"/>
            <w:r w:rsidR="00002E21">
              <w:rPr>
                <w:rFonts w:ascii="Times New Roman" w:hAnsi="Times New Roman" w:cs="Times New Roman"/>
                <w:sz w:val="24"/>
                <w:szCs w:val="24"/>
              </w:rPr>
              <w:t xml:space="preserve"> </w:t>
            </w:r>
            <w:r>
              <w:rPr>
                <w:rFonts w:ascii="Times New Roman" w:hAnsi="Times New Roman" w:cs="Times New Roman"/>
                <w:sz w:val="24"/>
                <w:szCs w:val="24"/>
              </w:rPr>
              <w:t>mas com vegetação nativa</w:t>
            </w:r>
          </w:p>
        </w:tc>
        <w:tc>
          <w:tcPr>
            <w:tcW w:w="1843" w:type="dxa"/>
          </w:tcPr>
          <w:p w14:paraId="3B79B46F" w14:textId="0C43EA10" w:rsidR="00960E0D" w:rsidRPr="00232C46" w:rsidRDefault="00D42135"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0,31</w:t>
            </w:r>
          </w:p>
        </w:tc>
        <w:tc>
          <w:tcPr>
            <w:tcW w:w="1548" w:type="dxa"/>
          </w:tcPr>
          <w:p w14:paraId="77C8CF84" w14:textId="61309551" w:rsidR="00960E0D" w:rsidRPr="00232C46" w:rsidRDefault="00C01299"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CF47B7">
              <w:rPr>
                <w:rFonts w:ascii="Times New Roman" w:hAnsi="Times New Roman" w:cs="Times New Roman"/>
                <w:sz w:val="24"/>
                <w:szCs w:val="24"/>
              </w:rPr>
              <w:t>63</w:t>
            </w:r>
          </w:p>
        </w:tc>
      </w:tr>
      <w:tr w:rsidR="00960E0D" w:rsidRPr="00232C46" w14:paraId="676EF11F" w14:textId="77777777" w:rsidTr="00002E21">
        <w:trPr>
          <w:jc w:val="center"/>
        </w:trPr>
        <w:tc>
          <w:tcPr>
            <w:tcW w:w="5103" w:type="dxa"/>
          </w:tcPr>
          <w:p w14:paraId="0ED62590" w14:textId="77777777" w:rsidR="00960E0D" w:rsidRPr="00232C46" w:rsidRDefault="00960E0D"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Inapta</w:t>
            </w:r>
          </w:p>
        </w:tc>
        <w:tc>
          <w:tcPr>
            <w:tcW w:w="1843" w:type="dxa"/>
          </w:tcPr>
          <w:p w14:paraId="28D84C63" w14:textId="029F533D" w:rsidR="00960E0D" w:rsidRPr="00232C46" w:rsidRDefault="00D42135"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1,29</w:t>
            </w:r>
          </w:p>
        </w:tc>
        <w:tc>
          <w:tcPr>
            <w:tcW w:w="1548" w:type="dxa"/>
          </w:tcPr>
          <w:p w14:paraId="486BB797" w14:textId="38DF221C" w:rsidR="00960E0D" w:rsidRPr="00232C46" w:rsidRDefault="00CF47B7" w:rsidP="00C00DB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C01299">
              <w:rPr>
                <w:rFonts w:ascii="Times New Roman" w:hAnsi="Times New Roman" w:cs="Times New Roman"/>
                <w:sz w:val="24"/>
                <w:szCs w:val="24"/>
              </w:rPr>
              <w:t>,</w:t>
            </w:r>
            <w:r w:rsidR="00AB5237">
              <w:rPr>
                <w:rFonts w:ascii="Times New Roman" w:hAnsi="Times New Roman" w:cs="Times New Roman"/>
                <w:sz w:val="24"/>
                <w:szCs w:val="24"/>
              </w:rPr>
              <w:t>46</w:t>
            </w:r>
          </w:p>
        </w:tc>
      </w:tr>
    </w:tbl>
    <w:p w14:paraId="420FB885" w14:textId="77777777" w:rsidR="00960E0D" w:rsidRDefault="00960E0D" w:rsidP="00F30F9F">
      <w:pPr>
        <w:spacing w:line="360" w:lineRule="auto"/>
        <w:jc w:val="both"/>
        <w:rPr>
          <w:rFonts w:ascii="Times New Roman" w:hAnsi="Times New Roman" w:cs="Times New Roman"/>
          <w:b/>
          <w:bCs/>
          <w:sz w:val="24"/>
          <w:szCs w:val="24"/>
        </w:rPr>
      </w:pPr>
    </w:p>
    <w:p w14:paraId="08E6A9E0" w14:textId="77777777" w:rsidR="00AE7E1C" w:rsidRPr="00513566" w:rsidRDefault="00AE7E1C" w:rsidP="00F30F9F">
      <w:pPr>
        <w:spacing w:line="360" w:lineRule="auto"/>
        <w:jc w:val="both"/>
        <w:rPr>
          <w:rFonts w:ascii="Times New Roman" w:hAnsi="Times New Roman" w:cs="Times New Roman"/>
          <w:b/>
          <w:bCs/>
          <w:sz w:val="24"/>
          <w:szCs w:val="24"/>
        </w:rPr>
      </w:pPr>
    </w:p>
    <w:p w14:paraId="0F26A648" w14:textId="46052749" w:rsidR="005A69F3" w:rsidRPr="00513566" w:rsidRDefault="00513566" w:rsidP="00F30F9F">
      <w:pPr>
        <w:spacing w:line="360" w:lineRule="auto"/>
        <w:jc w:val="both"/>
        <w:rPr>
          <w:rFonts w:ascii="Times New Roman" w:hAnsi="Times New Roman" w:cs="Times New Roman"/>
          <w:b/>
          <w:bCs/>
          <w:sz w:val="24"/>
          <w:szCs w:val="24"/>
        </w:rPr>
      </w:pPr>
      <w:r w:rsidRPr="00513566">
        <w:rPr>
          <w:rFonts w:ascii="Times New Roman" w:hAnsi="Times New Roman" w:cs="Times New Roman"/>
          <w:b/>
          <w:bCs/>
          <w:sz w:val="24"/>
          <w:szCs w:val="24"/>
        </w:rPr>
        <w:t>REFERÊNCIAS</w:t>
      </w:r>
    </w:p>
    <w:p w14:paraId="56572F7B" w14:textId="13314C40" w:rsidR="00F40AE2" w:rsidRDefault="00F40AE2" w:rsidP="00513566">
      <w:pPr>
        <w:widowControl w:val="0"/>
        <w:autoSpaceDE w:val="0"/>
        <w:autoSpaceDN w:val="0"/>
        <w:adjustRightInd w:val="0"/>
        <w:spacing w:line="240" w:lineRule="auto"/>
        <w:ind w:left="480" w:hanging="480"/>
        <w:rPr>
          <w:rFonts w:ascii="Times New Roman" w:hAnsi="Times New Roman" w:cs="Times New Roman"/>
          <w:sz w:val="24"/>
          <w:szCs w:val="24"/>
        </w:rPr>
      </w:pPr>
      <w:r w:rsidRPr="00F40AE2">
        <w:rPr>
          <w:rFonts w:ascii="Times New Roman" w:hAnsi="Times New Roman" w:cs="Times New Roman"/>
          <w:sz w:val="24"/>
          <w:szCs w:val="24"/>
        </w:rPr>
        <w:t xml:space="preserve">Agência Nacional de Águas (ANA), 2021. Atlas Irrigação Uso da Água na Agricultura Irrigada, </w:t>
      </w:r>
      <w:proofErr w:type="gramStart"/>
      <w:r w:rsidRPr="00F40AE2">
        <w:rPr>
          <w:rFonts w:ascii="Times New Roman" w:hAnsi="Times New Roman" w:cs="Times New Roman"/>
          <w:sz w:val="24"/>
          <w:szCs w:val="24"/>
        </w:rPr>
        <w:t>2 edição</w:t>
      </w:r>
      <w:proofErr w:type="gramEnd"/>
      <w:r w:rsidRPr="00F40AE2">
        <w:rPr>
          <w:rFonts w:ascii="Times New Roman" w:hAnsi="Times New Roman" w:cs="Times New Roman"/>
          <w:sz w:val="24"/>
          <w:szCs w:val="24"/>
        </w:rPr>
        <w:t>. ed. Brasília-DF.</w:t>
      </w:r>
    </w:p>
    <w:p w14:paraId="23310575" w14:textId="0913AAE9" w:rsidR="00AE7E1C" w:rsidRPr="008D35CE" w:rsidRDefault="00AE7E1C" w:rsidP="00513566">
      <w:pPr>
        <w:widowControl w:val="0"/>
        <w:autoSpaceDE w:val="0"/>
        <w:autoSpaceDN w:val="0"/>
        <w:adjustRightInd w:val="0"/>
        <w:spacing w:line="240" w:lineRule="auto"/>
        <w:ind w:left="480" w:hanging="480"/>
        <w:rPr>
          <w:rFonts w:ascii="Times New Roman" w:hAnsi="Times New Roman" w:cs="Times New Roman"/>
          <w:sz w:val="24"/>
          <w:szCs w:val="24"/>
          <w:lang w:val="en-GB"/>
        </w:rPr>
      </w:pPr>
      <w:proofErr w:type="spellStart"/>
      <w:r w:rsidRPr="00AE7E1C">
        <w:rPr>
          <w:rFonts w:ascii="Times New Roman" w:hAnsi="Times New Roman" w:cs="Times New Roman"/>
          <w:sz w:val="24"/>
          <w:szCs w:val="24"/>
        </w:rPr>
        <w:t>Arvor</w:t>
      </w:r>
      <w:proofErr w:type="spellEnd"/>
      <w:r w:rsidRPr="00AE7E1C">
        <w:rPr>
          <w:rFonts w:ascii="Times New Roman" w:hAnsi="Times New Roman" w:cs="Times New Roman"/>
          <w:sz w:val="24"/>
          <w:szCs w:val="24"/>
        </w:rPr>
        <w:t xml:space="preserve">, D., </w:t>
      </w:r>
      <w:proofErr w:type="spellStart"/>
      <w:r w:rsidRPr="00AE7E1C">
        <w:rPr>
          <w:rFonts w:ascii="Times New Roman" w:hAnsi="Times New Roman" w:cs="Times New Roman"/>
          <w:sz w:val="24"/>
          <w:szCs w:val="24"/>
        </w:rPr>
        <w:t>Dubreuil</w:t>
      </w:r>
      <w:proofErr w:type="spellEnd"/>
      <w:r w:rsidRPr="00AE7E1C">
        <w:rPr>
          <w:rFonts w:ascii="Times New Roman" w:hAnsi="Times New Roman" w:cs="Times New Roman"/>
          <w:sz w:val="24"/>
          <w:szCs w:val="24"/>
        </w:rPr>
        <w:t xml:space="preserve">, V., </w:t>
      </w:r>
      <w:proofErr w:type="spellStart"/>
      <w:r w:rsidRPr="00AE7E1C">
        <w:rPr>
          <w:rFonts w:ascii="Times New Roman" w:hAnsi="Times New Roman" w:cs="Times New Roman"/>
          <w:sz w:val="24"/>
          <w:szCs w:val="24"/>
        </w:rPr>
        <w:t>Ronchail</w:t>
      </w:r>
      <w:proofErr w:type="spellEnd"/>
      <w:r w:rsidRPr="00AE7E1C">
        <w:rPr>
          <w:rFonts w:ascii="Times New Roman" w:hAnsi="Times New Roman" w:cs="Times New Roman"/>
          <w:sz w:val="24"/>
          <w:szCs w:val="24"/>
        </w:rPr>
        <w:t xml:space="preserve">, J., Simões, M., </w:t>
      </w:r>
      <w:proofErr w:type="spellStart"/>
      <w:r w:rsidRPr="00AE7E1C">
        <w:rPr>
          <w:rFonts w:ascii="Times New Roman" w:hAnsi="Times New Roman" w:cs="Times New Roman"/>
          <w:sz w:val="24"/>
          <w:szCs w:val="24"/>
        </w:rPr>
        <w:t>Funatsu</w:t>
      </w:r>
      <w:proofErr w:type="spellEnd"/>
      <w:r w:rsidRPr="00AE7E1C">
        <w:rPr>
          <w:rFonts w:ascii="Times New Roman" w:hAnsi="Times New Roman" w:cs="Times New Roman"/>
          <w:sz w:val="24"/>
          <w:szCs w:val="24"/>
        </w:rPr>
        <w:t xml:space="preserve">, B.M., 2014. </w:t>
      </w:r>
      <w:r w:rsidRPr="00AE7E1C">
        <w:rPr>
          <w:rFonts w:ascii="Times New Roman" w:hAnsi="Times New Roman" w:cs="Times New Roman"/>
          <w:sz w:val="24"/>
          <w:szCs w:val="24"/>
          <w:lang w:val="en-GB"/>
        </w:rPr>
        <w:t xml:space="preserve">Spatial patterns of rainfall regimes related to levels of double cropping agriculture systems in Mato Grosso </w:t>
      </w:r>
      <w:r w:rsidRPr="00AE7E1C">
        <w:rPr>
          <w:rFonts w:ascii="Times New Roman" w:hAnsi="Times New Roman" w:cs="Times New Roman"/>
          <w:sz w:val="24"/>
          <w:szCs w:val="24"/>
          <w:lang w:val="en-GB"/>
        </w:rPr>
        <w:lastRenderedPageBreak/>
        <w:t xml:space="preserve">(Brazil). </w:t>
      </w:r>
      <w:r w:rsidRPr="008D35CE">
        <w:rPr>
          <w:rFonts w:ascii="Times New Roman" w:hAnsi="Times New Roman" w:cs="Times New Roman"/>
          <w:sz w:val="24"/>
          <w:szCs w:val="24"/>
          <w:lang w:val="en-GB"/>
        </w:rPr>
        <w:t xml:space="preserve">Int. J. </w:t>
      </w:r>
      <w:proofErr w:type="spellStart"/>
      <w:r w:rsidRPr="008D35CE">
        <w:rPr>
          <w:rFonts w:ascii="Times New Roman" w:hAnsi="Times New Roman" w:cs="Times New Roman"/>
          <w:sz w:val="24"/>
          <w:szCs w:val="24"/>
          <w:lang w:val="en-GB"/>
        </w:rPr>
        <w:t>Climatol</w:t>
      </w:r>
      <w:proofErr w:type="spellEnd"/>
      <w:r w:rsidRPr="008D35CE">
        <w:rPr>
          <w:rFonts w:ascii="Times New Roman" w:hAnsi="Times New Roman" w:cs="Times New Roman"/>
          <w:sz w:val="24"/>
          <w:szCs w:val="24"/>
          <w:lang w:val="en-GB"/>
        </w:rPr>
        <w:t>. 34, 2622–2633. https://doi.org/10.1002/joc.3863</w:t>
      </w:r>
    </w:p>
    <w:p w14:paraId="50BD2A2C" w14:textId="32147848" w:rsidR="00513566" w:rsidRPr="006C5CE6" w:rsidRDefault="00513566" w:rsidP="00513566">
      <w:pPr>
        <w:widowControl w:val="0"/>
        <w:autoSpaceDE w:val="0"/>
        <w:autoSpaceDN w:val="0"/>
        <w:adjustRightInd w:val="0"/>
        <w:spacing w:line="240" w:lineRule="auto"/>
        <w:ind w:left="480" w:hanging="480"/>
        <w:rPr>
          <w:rFonts w:ascii="Times New Roman" w:hAnsi="Times New Roman" w:cs="Times New Roman"/>
          <w:noProof/>
          <w:kern w:val="0"/>
          <w:sz w:val="24"/>
          <w:szCs w:val="24"/>
          <w:lang w:val="en-GB"/>
        </w:rPr>
      </w:pPr>
      <w:r>
        <w:rPr>
          <w:rFonts w:ascii="Times New Roman" w:hAnsi="Times New Roman" w:cs="Times New Roman"/>
          <w:sz w:val="24"/>
          <w:szCs w:val="24"/>
        </w:rPr>
        <w:fldChar w:fldCharType="begin" w:fldLock="1"/>
      </w:r>
      <w:r w:rsidRPr="006C15D1">
        <w:rPr>
          <w:rFonts w:ascii="Times New Roman" w:hAnsi="Times New Roman" w:cs="Times New Roman"/>
          <w:sz w:val="24"/>
          <w:szCs w:val="24"/>
          <w:lang w:val="en-GB"/>
        </w:rPr>
        <w:instrText xml:space="preserve">ADDIN Mendeley Bibliography CSL_BIBLIOGRAPHY </w:instrText>
      </w:r>
      <w:r>
        <w:rPr>
          <w:rFonts w:ascii="Times New Roman" w:hAnsi="Times New Roman" w:cs="Times New Roman"/>
          <w:sz w:val="24"/>
          <w:szCs w:val="24"/>
        </w:rPr>
        <w:fldChar w:fldCharType="separate"/>
      </w:r>
      <w:r w:rsidRPr="006C15D1">
        <w:rPr>
          <w:rFonts w:ascii="Times New Roman" w:hAnsi="Times New Roman" w:cs="Times New Roman"/>
          <w:noProof/>
          <w:kern w:val="0"/>
          <w:sz w:val="24"/>
          <w:szCs w:val="24"/>
          <w:lang w:val="en-GB"/>
        </w:rPr>
        <w:t xml:space="preserve">Farr TG, Rosen PA, Caro E, et al (2007) The shuttle radar topography mission. </w:t>
      </w:r>
      <w:r w:rsidRPr="006C5CE6">
        <w:rPr>
          <w:rFonts w:ascii="Times New Roman" w:hAnsi="Times New Roman" w:cs="Times New Roman"/>
          <w:noProof/>
          <w:kern w:val="0"/>
          <w:sz w:val="24"/>
          <w:szCs w:val="24"/>
          <w:lang w:val="en-GB"/>
        </w:rPr>
        <w:t>Rev Geophys. https://doi.org/10.1029/2005RG000183</w:t>
      </w:r>
    </w:p>
    <w:p w14:paraId="0407B28E" w14:textId="77777777" w:rsidR="00513566" w:rsidRPr="006C15D1" w:rsidRDefault="00513566" w:rsidP="00513566">
      <w:pPr>
        <w:widowControl w:val="0"/>
        <w:autoSpaceDE w:val="0"/>
        <w:autoSpaceDN w:val="0"/>
        <w:adjustRightInd w:val="0"/>
        <w:spacing w:line="240" w:lineRule="auto"/>
        <w:ind w:left="480" w:hanging="480"/>
        <w:rPr>
          <w:rFonts w:ascii="Times New Roman" w:hAnsi="Times New Roman" w:cs="Times New Roman"/>
          <w:noProof/>
          <w:sz w:val="24"/>
        </w:rPr>
      </w:pPr>
      <w:r w:rsidRPr="006C5CE6">
        <w:rPr>
          <w:rFonts w:ascii="Times New Roman" w:hAnsi="Times New Roman" w:cs="Times New Roman"/>
          <w:noProof/>
          <w:kern w:val="0"/>
          <w:sz w:val="24"/>
          <w:szCs w:val="24"/>
          <w:lang w:val="en-GB"/>
        </w:rPr>
        <w:t xml:space="preserve">Souza CM, Shimbo JZ, Rosa MR, et al (2020) Reconstructing three decades of land use and land cover changes in brazilian biomes with landsat archive and earth engine. </w:t>
      </w:r>
      <w:r w:rsidRPr="006C15D1">
        <w:rPr>
          <w:rFonts w:ascii="Times New Roman" w:hAnsi="Times New Roman" w:cs="Times New Roman"/>
          <w:noProof/>
          <w:kern w:val="0"/>
          <w:sz w:val="24"/>
          <w:szCs w:val="24"/>
        </w:rPr>
        <w:t>Remote Sens 12:. https://doi.org/10.3390/RS12172735</w:t>
      </w:r>
    </w:p>
    <w:p w14:paraId="44F98293" w14:textId="36599986" w:rsidR="00EB673E" w:rsidRDefault="00513566" w:rsidP="00513566">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end"/>
      </w:r>
      <w:r w:rsidR="00EB673E">
        <w:rPr>
          <w:rFonts w:ascii="Times New Roman" w:hAnsi="Times New Roman" w:cs="Times New Roman"/>
          <w:sz w:val="24"/>
          <w:szCs w:val="24"/>
        </w:rPr>
        <w:tab/>
      </w:r>
    </w:p>
    <w:p w14:paraId="5E9CF041" w14:textId="77777777" w:rsidR="00D00E70" w:rsidRDefault="00D00E70" w:rsidP="00F30F9F">
      <w:pPr>
        <w:spacing w:line="360" w:lineRule="auto"/>
        <w:jc w:val="both"/>
        <w:rPr>
          <w:rFonts w:ascii="Times New Roman" w:hAnsi="Times New Roman" w:cs="Times New Roman"/>
          <w:sz w:val="24"/>
          <w:szCs w:val="24"/>
        </w:rPr>
      </w:pPr>
    </w:p>
    <w:p w14:paraId="13F4A255" w14:textId="77777777" w:rsidR="002330D4" w:rsidRDefault="002330D4" w:rsidP="00F30F9F">
      <w:pPr>
        <w:spacing w:line="360" w:lineRule="auto"/>
        <w:jc w:val="both"/>
        <w:rPr>
          <w:rFonts w:ascii="Times New Roman" w:hAnsi="Times New Roman" w:cs="Times New Roman"/>
          <w:sz w:val="24"/>
          <w:szCs w:val="24"/>
        </w:rPr>
      </w:pPr>
    </w:p>
    <w:p w14:paraId="62B5E7EA" w14:textId="77777777" w:rsidR="002330D4" w:rsidRDefault="002330D4" w:rsidP="00F30F9F">
      <w:pPr>
        <w:spacing w:line="360" w:lineRule="auto"/>
        <w:jc w:val="both"/>
        <w:rPr>
          <w:rFonts w:ascii="Times New Roman" w:hAnsi="Times New Roman" w:cs="Times New Roman"/>
          <w:sz w:val="24"/>
          <w:szCs w:val="24"/>
        </w:rPr>
      </w:pPr>
    </w:p>
    <w:p w14:paraId="3E4430C8" w14:textId="77777777" w:rsidR="002330D4" w:rsidRDefault="002330D4" w:rsidP="00F30F9F">
      <w:pPr>
        <w:spacing w:line="360" w:lineRule="auto"/>
        <w:jc w:val="both"/>
        <w:rPr>
          <w:rFonts w:ascii="Times New Roman" w:hAnsi="Times New Roman" w:cs="Times New Roman"/>
          <w:sz w:val="24"/>
          <w:szCs w:val="24"/>
        </w:rPr>
      </w:pPr>
    </w:p>
    <w:p w14:paraId="5C69FB1F" w14:textId="77777777" w:rsidR="002330D4" w:rsidRDefault="002330D4" w:rsidP="00F30F9F">
      <w:pPr>
        <w:spacing w:line="360" w:lineRule="auto"/>
        <w:jc w:val="both"/>
        <w:rPr>
          <w:rFonts w:ascii="Times New Roman" w:hAnsi="Times New Roman" w:cs="Times New Roman"/>
          <w:sz w:val="24"/>
          <w:szCs w:val="24"/>
        </w:rPr>
      </w:pPr>
    </w:p>
    <w:p w14:paraId="1F7F8271" w14:textId="77777777" w:rsidR="002330D4" w:rsidRDefault="002330D4" w:rsidP="00F30F9F">
      <w:pPr>
        <w:spacing w:line="360" w:lineRule="auto"/>
        <w:jc w:val="both"/>
        <w:rPr>
          <w:rFonts w:ascii="Times New Roman" w:hAnsi="Times New Roman" w:cs="Times New Roman"/>
          <w:sz w:val="24"/>
          <w:szCs w:val="24"/>
        </w:rPr>
      </w:pPr>
    </w:p>
    <w:p w14:paraId="3A215506" w14:textId="77777777" w:rsidR="002330D4" w:rsidRDefault="002330D4" w:rsidP="00F30F9F">
      <w:pPr>
        <w:spacing w:line="360" w:lineRule="auto"/>
        <w:jc w:val="both"/>
        <w:rPr>
          <w:rFonts w:ascii="Times New Roman" w:hAnsi="Times New Roman" w:cs="Times New Roman"/>
          <w:sz w:val="24"/>
          <w:szCs w:val="24"/>
        </w:rPr>
      </w:pPr>
    </w:p>
    <w:p w14:paraId="563C2E74" w14:textId="77777777" w:rsidR="00F72223" w:rsidRDefault="00F72223" w:rsidP="00F30F9F">
      <w:pPr>
        <w:spacing w:line="360" w:lineRule="auto"/>
        <w:jc w:val="both"/>
        <w:rPr>
          <w:rFonts w:ascii="Times New Roman" w:hAnsi="Times New Roman" w:cs="Times New Roman"/>
          <w:sz w:val="24"/>
          <w:szCs w:val="24"/>
        </w:rPr>
      </w:pPr>
    </w:p>
    <w:p w14:paraId="5941844D" w14:textId="77777777" w:rsidR="00581400" w:rsidRDefault="00581400" w:rsidP="00F30F9F">
      <w:pPr>
        <w:spacing w:line="360" w:lineRule="auto"/>
        <w:jc w:val="both"/>
        <w:rPr>
          <w:rFonts w:ascii="Times New Roman" w:hAnsi="Times New Roman" w:cs="Times New Roman"/>
          <w:sz w:val="24"/>
          <w:szCs w:val="24"/>
        </w:rPr>
      </w:pPr>
    </w:p>
    <w:p w14:paraId="7FF7DFBB" w14:textId="77777777" w:rsidR="00581400" w:rsidRDefault="00581400" w:rsidP="00F30F9F">
      <w:pPr>
        <w:spacing w:line="360" w:lineRule="auto"/>
        <w:jc w:val="both"/>
        <w:rPr>
          <w:rFonts w:ascii="Times New Roman" w:hAnsi="Times New Roman" w:cs="Times New Roman"/>
          <w:sz w:val="24"/>
          <w:szCs w:val="24"/>
        </w:rPr>
      </w:pPr>
    </w:p>
    <w:p w14:paraId="6B6046FA" w14:textId="77777777" w:rsidR="00581400" w:rsidRDefault="00581400" w:rsidP="00F30F9F">
      <w:pPr>
        <w:spacing w:line="360" w:lineRule="auto"/>
        <w:jc w:val="both"/>
        <w:rPr>
          <w:rFonts w:ascii="Times New Roman" w:hAnsi="Times New Roman" w:cs="Times New Roman"/>
          <w:sz w:val="24"/>
          <w:szCs w:val="24"/>
        </w:rPr>
      </w:pPr>
    </w:p>
    <w:p w14:paraId="115E420A" w14:textId="77777777" w:rsidR="00581400" w:rsidRDefault="00581400" w:rsidP="00F30F9F">
      <w:pPr>
        <w:spacing w:line="360" w:lineRule="auto"/>
        <w:jc w:val="both"/>
        <w:rPr>
          <w:rFonts w:ascii="Times New Roman" w:hAnsi="Times New Roman" w:cs="Times New Roman"/>
          <w:sz w:val="24"/>
          <w:szCs w:val="24"/>
        </w:rPr>
      </w:pPr>
    </w:p>
    <w:p w14:paraId="00F20F15" w14:textId="77777777" w:rsidR="00581400" w:rsidRDefault="00581400" w:rsidP="00F30F9F">
      <w:pPr>
        <w:spacing w:line="360" w:lineRule="auto"/>
        <w:jc w:val="both"/>
        <w:rPr>
          <w:rFonts w:ascii="Times New Roman" w:hAnsi="Times New Roman" w:cs="Times New Roman"/>
          <w:sz w:val="24"/>
          <w:szCs w:val="24"/>
        </w:rPr>
      </w:pPr>
    </w:p>
    <w:p w14:paraId="6EEFD08E" w14:textId="77777777" w:rsidR="00581400" w:rsidRDefault="00581400" w:rsidP="00F30F9F">
      <w:pPr>
        <w:spacing w:line="360" w:lineRule="auto"/>
        <w:jc w:val="both"/>
        <w:rPr>
          <w:rFonts w:ascii="Times New Roman" w:hAnsi="Times New Roman" w:cs="Times New Roman"/>
          <w:sz w:val="24"/>
          <w:szCs w:val="24"/>
        </w:rPr>
      </w:pPr>
    </w:p>
    <w:p w14:paraId="634B3A68" w14:textId="77777777" w:rsidR="00581400" w:rsidRDefault="00581400" w:rsidP="00F30F9F">
      <w:pPr>
        <w:spacing w:line="360" w:lineRule="auto"/>
        <w:jc w:val="both"/>
        <w:rPr>
          <w:rFonts w:ascii="Times New Roman" w:hAnsi="Times New Roman" w:cs="Times New Roman"/>
          <w:sz w:val="24"/>
          <w:szCs w:val="24"/>
        </w:rPr>
      </w:pPr>
    </w:p>
    <w:p w14:paraId="7317AAEC" w14:textId="77777777" w:rsidR="00581400" w:rsidRDefault="00581400" w:rsidP="00F30F9F">
      <w:pPr>
        <w:spacing w:line="360" w:lineRule="auto"/>
        <w:jc w:val="both"/>
        <w:rPr>
          <w:rFonts w:ascii="Times New Roman" w:hAnsi="Times New Roman" w:cs="Times New Roman"/>
          <w:sz w:val="24"/>
          <w:szCs w:val="24"/>
        </w:rPr>
      </w:pPr>
    </w:p>
    <w:p w14:paraId="51AD79B7" w14:textId="77777777" w:rsidR="00581400" w:rsidRDefault="00581400" w:rsidP="00F30F9F">
      <w:pPr>
        <w:spacing w:line="360" w:lineRule="auto"/>
        <w:jc w:val="both"/>
        <w:rPr>
          <w:rFonts w:ascii="Times New Roman" w:hAnsi="Times New Roman" w:cs="Times New Roman"/>
          <w:sz w:val="24"/>
          <w:szCs w:val="24"/>
        </w:rPr>
      </w:pPr>
    </w:p>
    <w:p w14:paraId="6ECCBD44" w14:textId="77777777" w:rsidR="00581400" w:rsidRDefault="00581400" w:rsidP="00F30F9F">
      <w:pPr>
        <w:spacing w:line="360" w:lineRule="auto"/>
        <w:jc w:val="both"/>
        <w:rPr>
          <w:rFonts w:ascii="Times New Roman" w:hAnsi="Times New Roman" w:cs="Times New Roman"/>
          <w:sz w:val="24"/>
          <w:szCs w:val="24"/>
        </w:rPr>
      </w:pPr>
    </w:p>
    <w:p w14:paraId="0D3368F6" w14:textId="77777777" w:rsidR="00581400" w:rsidRDefault="00581400" w:rsidP="00F30F9F">
      <w:pPr>
        <w:spacing w:line="360" w:lineRule="auto"/>
        <w:jc w:val="both"/>
        <w:rPr>
          <w:rFonts w:ascii="Times New Roman" w:hAnsi="Times New Roman" w:cs="Times New Roman"/>
          <w:sz w:val="24"/>
          <w:szCs w:val="24"/>
        </w:rPr>
      </w:pPr>
    </w:p>
    <w:p w14:paraId="434B2A44" w14:textId="77777777" w:rsidR="00581400" w:rsidRDefault="00581400" w:rsidP="00F30F9F">
      <w:pPr>
        <w:spacing w:line="360" w:lineRule="auto"/>
        <w:jc w:val="both"/>
        <w:rPr>
          <w:rFonts w:ascii="Times New Roman" w:hAnsi="Times New Roman" w:cs="Times New Roman"/>
          <w:sz w:val="24"/>
          <w:szCs w:val="24"/>
        </w:rPr>
      </w:pPr>
    </w:p>
    <w:sectPr w:rsidR="00581400" w:rsidSect="008953E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757AA2"/>
    <w:multiLevelType w:val="hybridMultilevel"/>
    <w:tmpl w:val="C8BA12FA"/>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1" w15:restartNumberingAfterBreak="0">
    <w:nsid w:val="4E4B69D3"/>
    <w:multiLevelType w:val="hybridMultilevel"/>
    <w:tmpl w:val="2692F2E8"/>
    <w:lvl w:ilvl="0" w:tplc="04160001">
      <w:start w:val="1"/>
      <w:numFmt w:val="bullet"/>
      <w:lvlText w:val=""/>
      <w:lvlJc w:val="left"/>
      <w:pPr>
        <w:ind w:left="862" w:hanging="360"/>
      </w:pPr>
      <w:rPr>
        <w:rFonts w:ascii="Symbol" w:hAnsi="Symbol" w:hint="default"/>
      </w:rPr>
    </w:lvl>
    <w:lvl w:ilvl="1" w:tplc="04160003" w:tentative="1">
      <w:start w:val="1"/>
      <w:numFmt w:val="bullet"/>
      <w:lvlText w:val="o"/>
      <w:lvlJc w:val="left"/>
      <w:pPr>
        <w:ind w:left="1582" w:hanging="360"/>
      </w:pPr>
      <w:rPr>
        <w:rFonts w:ascii="Courier New" w:hAnsi="Courier New" w:cs="Courier New" w:hint="default"/>
      </w:rPr>
    </w:lvl>
    <w:lvl w:ilvl="2" w:tplc="04160005" w:tentative="1">
      <w:start w:val="1"/>
      <w:numFmt w:val="bullet"/>
      <w:lvlText w:val=""/>
      <w:lvlJc w:val="left"/>
      <w:pPr>
        <w:ind w:left="2302" w:hanging="360"/>
      </w:pPr>
      <w:rPr>
        <w:rFonts w:ascii="Wingdings" w:hAnsi="Wingdings" w:hint="default"/>
      </w:rPr>
    </w:lvl>
    <w:lvl w:ilvl="3" w:tplc="04160001" w:tentative="1">
      <w:start w:val="1"/>
      <w:numFmt w:val="bullet"/>
      <w:lvlText w:val=""/>
      <w:lvlJc w:val="left"/>
      <w:pPr>
        <w:ind w:left="3022" w:hanging="360"/>
      </w:pPr>
      <w:rPr>
        <w:rFonts w:ascii="Symbol" w:hAnsi="Symbol" w:hint="default"/>
      </w:rPr>
    </w:lvl>
    <w:lvl w:ilvl="4" w:tplc="04160003" w:tentative="1">
      <w:start w:val="1"/>
      <w:numFmt w:val="bullet"/>
      <w:lvlText w:val="o"/>
      <w:lvlJc w:val="left"/>
      <w:pPr>
        <w:ind w:left="3742" w:hanging="360"/>
      </w:pPr>
      <w:rPr>
        <w:rFonts w:ascii="Courier New" w:hAnsi="Courier New" w:cs="Courier New" w:hint="default"/>
      </w:rPr>
    </w:lvl>
    <w:lvl w:ilvl="5" w:tplc="04160005" w:tentative="1">
      <w:start w:val="1"/>
      <w:numFmt w:val="bullet"/>
      <w:lvlText w:val=""/>
      <w:lvlJc w:val="left"/>
      <w:pPr>
        <w:ind w:left="4462" w:hanging="360"/>
      </w:pPr>
      <w:rPr>
        <w:rFonts w:ascii="Wingdings" w:hAnsi="Wingdings" w:hint="default"/>
      </w:rPr>
    </w:lvl>
    <w:lvl w:ilvl="6" w:tplc="04160001" w:tentative="1">
      <w:start w:val="1"/>
      <w:numFmt w:val="bullet"/>
      <w:lvlText w:val=""/>
      <w:lvlJc w:val="left"/>
      <w:pPr>
        <w:ind w:left="5182" w:hanging="360"/>
      </w:pPr>
      <w:rPr>
        <w:rFonts w:ascii="Symbol" w:hAnsi="Symbol" w:hint="default"/>
      </w:rPr>
    </w:lvl>
    <w:lvl w:ilvl="7" w:tplc="04160003" w:tentative="1">
      <w:start w:val="1"/>
      <w:numFmt w:val="bullet"/>
      <w:lvlText w:val="o"/>
      <w:lvlJc w:val="left"/>
      <w:pPr>
        <w:ind w:left="5902" w:hanging="360"/>
      </w:pPr>
      <w:rPr>
        <w:rFonts w:ascii="Courier New" w:hAnsi="Courier New" w:cs="Courier New" w:hint="default"/>
      </w:rPr>
    </w:lvl>
    <w:lvl w:ilvl="8" w:tplc="04160005" w:tentative="1">
      <w:start w:val="1"/>
      <w:numFmt w:val="bullet"/>
      <w:lvlText w:val=""/>
      <w:lvlJc w:val="left"/>
      <w:pPr>
        <w:ind w:left="6622" w:hanging="360"/>
      </w:pPr>
      <w:rPr>
        <w:rFonts w:ascii="Wingdings" w:hAnsi="Wingdings" w:hint="default"/>
      </w:rPr>
    </w:lvl>
  </w:abstractNum>
  <w:abstractNum w:abstractNumId="2" w15:restartNumberingAfterBreak="0">
    <w:nsid w:val="672F5560"/>
    <w:multiLevelType w:val="hybridMultilevel"/>
    <w:tmpl w:val="035093D0"/>
    <w:lvl w:ilvl="0" w:tplc="0416000F">
      <w:start w:val="1"/>
      <w:numFmt w:val="decimal"/>
      <w:lvlText w:val="%1."/>
      <w:lvlJc w:val="left"/>
      <w:pPr>
        <w:ind w:left="862" w:hanging="360"/>
      </w:p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16cid:durableId="2079354332">
    <w:abstractNumId w:val="2"/>
  </w:num>
  <w:num w:numId="2" w16cid:durableId="1634873168">
    <w:abstractNumId w:val="1"/>
  </w:num>
  <w:num w:numId="3" w16cid:durableId="11832756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24E"/>
    <w:rsid w:val="00002E21"/>
    <w:rsid w:val="00014636"/>
    <w:rsid w:val="000173BA"/>
    <w:rsid w:val="00031296"/>
    <w:rsid w:val="00051E0A"/>
    <w:rsid w:val="000732F0"/>
    <w:rsid w:val="000D6362"/>
    <w:rsid w:val="000E6AC0"/>
    <w:rsid w:val="000E6DAC"/>
    <w:rsid w:val="000F1438"/>
    <w:rsid w:val="000F7AD6"/>
    <w:rsid w:val="0010195E"/>
    <w:rsid w:val="001049DF"/>
    <w:rsid w:val="00106556"/>
    <w:rsid w:val="0012716D"/>
    <w:rsid w:val="00131C51"/>
    <w:rsid w:val="0013798D"/>
    <w:rsid w:val="0014243B"/>
    <w:rsid w:val="0014510B"/>
    <w:rsid w:val="00150293"/>
    <w:rsid w:val="00165017"/>
    <w:rsid w:val="00176909"/>
    <w:rsid w:val="00176E49"/>
    <w:rsid w:val="00183A75"/>
    <w:rsid w:val="001B2F56"/>
    <w:rsid w:val="001B4186"/>
    <w:rsid w:val="001B4B74"/>
    <w:rsid w:val="001C09C9"/>
    <w:rsid w:val="001D0996"/>
    <w:rsid w:val="001D2E71"/>
    <w:rsid w:val="001E3C4F"/>
    <w:rsid w:val="00214FFA"/>
    <w:rsid w:val="00224E04"/>
    <w:rsid w:val="002330D4"/>
    <w:rsid w:val="00236BDA"/>
    <w:rsid w:val="00252F39"/>
    <w:rsid w:val="002612E2"/>
    <w:rsid w:val="00280A5C"/>
    <w:rsid w:val="00286D62"/>
    <w:rsid w:val="00296F83"/>
    <w:rsid w:val="002A751B"/>
    <w:rsid w:val="002D7DC9"/>
    <w:rsid w:val="002E1214"/>
    <w:rsid w:val="002F1288"/>
    <w:rsid w:val="0032363E"/>
    <w:rsid w:val="00324F7B"/>
    <w:rsid w:val="00332269"/>
    <w:rsid w:val="0035130C"/>
    <w:rsid w:val="0035247F"/>
    <w:rsid w:val="00352C3A"/>
    <w:rsid w:val="003724E6"/>
    <w:rsid w:val="0039002C"/>
    <w:rsid w:val="00393F88"/>
    <w:rsid w:val="003C136D"/>
    <w:rsid w:val="003F7FA2"/>
    <w:rsid w:val="004123E9"/>
    <w:rsid w:val="00414928"/>
    <w:rsid w:val="00417F43"/>
    <w:rsid w:val="00430BD1"/>
    <w:rsid w:val="0044417C"/>
    <w:rsid w:val="00452778"/>
    <w:rsid w:val="00474676"/>
    <w:rsid w:val="00475B7D"/>
    <w:rsid w:val="00485994"/>
    <w:rsid w:val="004966E2"/>
    <w:rsid w:val="004A2942"/>
    <w:rsid w:val="004A2CCE"/>
    <w:rsid w:val="004A6142"/>
    <w:rsid w:val="004D079B"/>
    <w:rsid w:val="004D0DC6"/>
    <w:rsid w:val="004D0FCA"/>
    <w:rsid w:val="004D2864"/>
    <w:rsid w:val="004D736D"/>
    <w:rsid w:val="005062FE"/>
    <w:rsid w:val="00510204"/>
    <w:rsid w:val="00513566"/>
    <w:rsid w:val="005403E2"/>
    <w:rsid w:val="0055006D"/>
    <w:rsid w:val="00554F8A"/>
    <w:rsid w:val="00555994"/>
    <w:rsid w:val="00567558"/>
    <w:rsid w:val="005716A1"/>
    <w:rsid w:val="00581400"/>
    <w:rsid w:val="0058179E"/>
    <w:rsid w:val="00582EFE"/>
    <w:rsid w:val="005A69F3"/>
    <w:rsid w:val="005C1252"/>
    <w:rsid w:val="005C2A9E"/>
    <w:rsid w:val="005F54B9"/>
    <w:rsid w:val="006016AF"/>
    <w:rsid w:val="006068A5"/>
    <w:rsid w:val="00641BD8"/>
    <w:rsid w:val="00651BD9"/>
    <w:rsid w:val="006619F2"/>
    <w:rsid w:val="00682535"/>
    <w:rsid w:val="00684363"/>
    <w:rsid w:val="00697D50"/>
    <w:rsid w:val="006B246F"/>
    <w:rsid w:val="006C34A5"/>
    <w:rsid w:val="006C36A1"/>
    <w:rsid w:val="006C6E0D"/>
    <w:rsid w:val="006D693F"/>
    <w:rsid w:val="006E1280"/>
    <w:rsid w:val="006F254D"/>
    <w:rsid w:val="00707507"/>
    <w:rsid w:val="00720B74"/>
    <w:rsid w:val="0072629D"/>
    <w:rsid w:val="00752A37"/>
    <w:rsid w:val="007679FC"/>
    <w:rsid w:val="00767D32"/>
    <w:rsid w:val="00767DF4"/>
    <w:rsid w:val="00775B2B"/>
    <w:rsid w:val="007C1347"/>
    <w:rsid w:val="008010FF"/>
    <w:rsid w:val="0080486E"/>
    <w:rsid w:val="00833745"/>
    <w:rsid w:val="00867F45"/>
    <w:rsid w:val="00884EA4"/>
    <w:rsid w:val="008871C1"/>
    <w:rsid w:val="008953E9"/>
    <w:rsid w:val="008A569C"/>
    <w:rsid w:val="008B106B"/>
    <w:rsid w:val="008B1C8B"/>
    <w:rsid w:val="008B424E"/>
    <w:rsid w:val="008C13BE"/>
    <w:rsid w:val="008D23B4"/>
    <w:rsid w:val="008D35CE"/>
    <w:rsid w:val="00912CCA"/>
    <w:rsid w:val="00937C8D"/>
    <w:rsid w:val="0095760E"/>
    <w:rsid w:val="009608C9"/>
    <w:rsid w:val="00960E0D"/>
    <w:rsid w:val="00973C9D"/>
    <w:rsid w:val="00992BFA"/>
    <w:rsid w:val="009A3FC4"/>
    <w:rsid w:val="009C011D"/>
    <w:rsid w:val="009C5C69"/>
    <w:rsid w:val="009F6A94"/>
    <w:rsid w:val="00A106FA"/>
    <w:rsid w:val="00A12B16"/>
    <w:rsid w:val="00A13EE5"/>
    <w:rsid w:val="00A35495"/>
    <w:rsid w:val="00A47FB9"/>
    <w:rsid w:val="00A91B4D"/>
    <w:rsid w:val="00A96BB6"/>
    <w:rsid w:val="00A9711D"/>
    <w:rsid w:val="00AA2422"/>
    <w:rsid w:val="00AB5237"/>
    <w:rsid w:val="00AC60AB"/>
    <w:rsid w:val="00AD2F52"/>
    <w:rsid w:val="00AE2A46"/>
    <w:rsid w:val="00AE2B0C"/>
    <w:rsid w:val="00AE311C"/>
    <w:rsid w:val="00AE3ACE"/>
    <w:rsid w:val="00AE7E1C"/>
    <w:rsid w:val="00AF0502"/>
    <w:rsid w:val="00B07C32"/>
    <w:rsid w:val="00B254BD"/>
    <w:rsid w:val="00B3213B"/>
    <w:rsid w:val="00B3244E"/>
    <w:rsid w:val="00B4326B"/>
    <w:rsid w:val="00B86A40"/>
    <w:rsid w:val="00B926E4"/>
    <w:rsid w:val="00BA6E5F"/>
    <w:rsid w:val="00BC3C3F"/>
    <w:rsid w:val="00BD7A11"/>
    <w:rsid w:val="00BE3B88"/>
    <w:rsid w:val="00BE6BFF"/>
    <w:rsid w:val="00BF0538"/>
    <w:rsid w:val="00C01299"/>
    <w:rsid w:val="00C12913"/>
    <w:rsid w:val="00C14E45"/>
    <w:rsid w:val="00C2286D"/>
    <w:rsid w:val="00C26579"/>
    <w:rsid w:val="00C27399"/>
    <w:rsid w:val="00C34952"/>
    <w:rsid w:val="00C3548D"/>
    <w:rsid w:val="00C40CED"/>
    <w:rsid w:val="00C52EEE"/>
    <w:rsid w:val="00C61342"/>
    <w:rsid w:val="00C734FB"/>
    <w:rsid w:val="00C97518"/>
    <w:rsid w:val="00CA6DB5"/>
    <w:rsid w:val="00CB39AE"/>
    <w:rsid w:val="00CE49A9"/>
    <w:rsid w:val="00CF47B7"/>
    <w:rsid w:val="00D00E70"/>
    <w:rsid w:val="00D017FA"/>
    <w:rsid w:val="00D1359D"/>
    <w:rsid w:val="00D141F3"/>
    <w:rsid w:val="00D262EF"/>
    <w:rsid w:val="00D268BC"/>
    <w:rsid w:val="00D27609"/>
    <w:rsid w:val="00D3046F"/>
    <w:rsid w:val="00D353AD"/>
    <w:rsid w:val="00D42135"/>
    <w:rsid w:val="00D45B54"/>
    <w:rsid w:val="00DA0238"/>
    <w:rsid w:val="00DA54D7"/>
    <w:rsid w:val="00DB232D"/>
    <w:rsid w:val="00DB3CEF"/>
    <w:rsid w:val="00DB3DA7"/>
    <w:rsid w:val="00DC7030"/>
    <w:rsid w:val="00DE4177"/>
    <w:rsid w:val="00DE6DC8"/>
    <w:rsid w:val="00DF09C3"/>
    <w:rsid w:val="00DF7408"/>
    <w:rsid w:val="00E30B77"/>
    <w:rsid w:val="00E3476F"/>
    <w:rsid w:val="00E50D8E"/>
    <w:rsid w:val="00E5217F"/>
    <w:rsid w:val="00EB673E"/>
    <w:rsid w:val="00EC462A"/>
    <w:rsid w:val="00EC4E68"/>
    <w:rsid w:val="00ED10B2"/>
    <w:rsid w:val="00ED323B"/>
    <w:rsid w:val="00ED7D30"/>
    <w:rsid w:val="00EE3BEF"/>
    <w:rsid w:val="00EE4C4E"/>
    <w:rsid w:val="00EF2F93"/>
    <w:rsid w:val="00EF67A7"/>
    <w:rsid w:val="00F02272"/>
    <w:rsid w:val="00F06DE0"/>
    <w:rsid w:val="00F24289"/>
    <w:rsid w:val="00F30F9F"/>
    <w:rsid w:val="00F40AE2"/>
    <w:rsid w:val="00F465B1"/>
    <w:rsid w:val="00F6365C"/>
    <w:rsid w:val="00F72223"/>
    <w:rsid w:val="00F83AC3"/>
    <w:rsid w:val="00F85850"/>
    <w:rsid w:val="00F916C5"/>
    <w:rsid w:val="00F9427B"/>
    <w:rsid w:val="00F961D9"/>
    <w:rsid w:val="00FA1038"/>
    <w:rsid w:val="00FA32C7"/>
    <w:rsid w:val="00FC3B37"/>
    <w:rsid w:val="00FC7263"/>
    <w:rsid w:val="00FD178D"/>
    <w:rsid w:val="00FD6E3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1E23FD1"/>
  <w15:chartTrackingRefBased/>
  <w15:docId w15:val="{716724E3-86AF-4A28-961E-499AEE54C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424E"/>
  </w:style>
  <w:style w:type="paragraph" w:styleId="Ttulo1">
    <w:name w:val="heading 1"/>
    <w:basedOn w:val="Normal"/>
    <w:next w:val="Normal"/>
    <w:link w:val="Ttulo1Char"/>
    <w:uiPriority w:val="9"/>
    <w:qFormat/>
    <w:rsid w:val="008B424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har"/>
    <w:uiPriority w:val="9"/>
    <w:semiHidden/>
    <w:unhideWhenUsed/>
    <w:qFormat/>
    <w:rsid w:val="008B424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har"/>
    <w:uiPriority w:val="9"/>
    <w:semiHidden/>
    <w:unhideWhenUsed/>
    <w:qFormat/>
    <w:rsid w:val="008B424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har"/>
    <w:uiPriority w:val="9"/>
    <w:semiHidden/>
    <w:unhideWhenUsed/>
    <w:qFormat/>
    <w:rsid w:val="008B424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har"/>
    <w:uiPriority w:val="9"/>
    <w:semiHidden/>
    <w:unhideWhenUsed/>
    <w:qFormat/>
    <w:rsid w:val="008B424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har"/>
    <w:uiPriority w:val="9"/>
    <w:semiHidden/>
    <w:unhideWhenUsed/>
    <w:qFormat/>
    <w:rsid w:val="008B424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8B424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8B424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8B424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8B424E"/>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8B424E"/>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8B424E"/>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8B424E"/>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8B424E"/>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8B424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8B424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8B424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8B424E"/>
    <w:rPr>
      <w:rFonts w:eastAsiaTheme="majorEastAsia" w:cstheme="majorBidi"/>
      <w:color w:val="272727" w:themeColor="text1" w:themeTint="D8"/>
    </w:rPr>
  </w:style>
  <w:style w:type="paragraph" w:styleId="Ttulo">
    <w:name w:val="Title"/>
    <w:basedOn w:val="Normal"/>
    <w:next w:val="Normal"/>
    <w:link w:val="TtuloChar"/>
    <w:uiPriority w:val="10"/>
    <w:qFormat/>
    <w:rsid w:val="008B424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8B424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8B424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8B424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8B424E"/>
    <w:pPr>
      <w:spacing w:before="160"/>
      <w:jc w:val="center"/>
    </w:pPr>
    <w:rPr>
      <w:i/>
      <w:iCs/>
      <w:color w:val="404040" w:themeColor="text1" w:themeTint="BF"/>
    </w:rPr>
  </w:style>
  <w:style w:type="character" w:customStyle="1" w:styleId="CitaoChar">
    <w:name w:val="Citação Char"/>
    <w:basedOn w:val="Fontepargpadro"/>
    <w:link w:val="Citao"/>
    <w:uiPriority w:val="29"/>
    <w:rsid w:val="008B424E"/>
    <w:rPr>
      <w:i/>
      <w:iCs/>
      <w:color w:val="404040" w:themeColor="text1" w:themeTint="BF"/>
    </w:rPr>
  </w:style>
  <w:style w:type="paragraph" w:styleId="PargrafodaLista">
    <w:name w:val="List Paragraph"/>
    <w:basedOn w:val="Normal"/>
    <w:uiPriority w:val="34"/>
    <w:qFormat/>
    <w:rsid w:val="008B424E"/>
    <w:pPr>
      <w:ind w:left="720"/>
      <w:contextualSpacing/>
    </w:pPr>
  </w:style>
  <w:style w:type="character" w:styleId="nfaseIntensa">
    <w:name w:val="Intense Emphasis"/>
    <w:basedOn w:val="Fontepargpadro"/>
    <w:uiPriority w:val="21"/>
    <w:qFormat/>
    <w:rsid w:val="008B424E"/>
    <w:rPr>
      <w:i/>
      <w:iCs/>
      <w:color w:val="2F5496" w:themeColor="accent1" w:themeShade="BF"/>
    </w:rPr>
  </w:style>
  <w:style w:type="paragraph" w:styleId="CitaoIntensa">
    <w:name w:val="Intense Quote"/>
    <w:basedOn w:val="Normal"/>
    <w:next w:val="Normal"/>
    <w:link w:val="CitaoIntensaChar"/>
    <w:uiPriority w:val="30"/>
    <w:qFormat/>
    <w:rsid w:val="008B424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oIntensaChar">
    <w:name w:val="Citação Intensa Char"/>
    <w:basedOn w:val="Fontepargpadro"/>
    <w:link w:val="CitaoIntensa"/>
    <w:uiPriority w:val="30"/>
    <w:rsid w:val="008B424E"/>
    <w:rPr>
      <w:i/>
      <w:iCs/>
      <w:color w:val="2F5496" w:themeColor="accent1" w:themeShade="BF"/>
    </w:rPr>
  </w:style>
  <w:style w:type="character" w:styleId="RefernciaIntensa">
    <w:name w:val="Intense Reference"/>
    <w:basedOn w:val="Fontepargpadro"/>
    <w:uiPriority w:val="32"/>
    <w:qFormat/>
    <w:rsid w:val="008B424E"/>
    <w:rPr>
      <w:b/>
      <w:bCs/>
      <w:smallCaps/>
      <w:color w:val="2F5496" w:themeColor="accent1" w:themeShade="BF"/>
      <w:spacing w:val="5"/>
    </w:rPr>
  </w:style>
  <w:style w:type="table" w:styleId="Tabelacomgrade">
    <w:name w:val="Table Grid"/>
    <w:basedOn w:val="Tabelanormal"/>
    <w:uiPriority w:val="39"/>
    <w:rsid w:val="00D0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1355</Words>
  <Characters>17158</Characters>
  <Application>Microsoft Office Word</Application>
  <DocSecurity>0</DocSecurity>
  <Lines>142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Livia Brumatti</dc:creator>
  <cp:keywords/>
  <dc:description/>
  <cp:lastModifiedBy>Josiane Dourado</cp:lastModifiedBy>
  <cp:revision>2</cp:revision>
  <dcterms:created xsi:type="dcterms:W3CDTF">2024-08-20T20:37:00Z</dcterms:created>
  <dcterms:modified xsi:type="dcterms:W3CDTF">2024-08-20T20:37:00Z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775211a03d51b2eb0b47f8cb992416a0f6127126bb3c9aa3e9bc64cdf4b8f91a</vt:lpwstr>
  </property>
</Properties>
</file>